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27D7" w14:textId="58971967" w:rsidR="001C07AC" w:rsidRDefault="001C07AC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27"/>
        <w:gridCol w:w="9816"/>
      </w:tblGrid>
      <w:tr w:rsidR="004D627D" w:rsidRPr="002234F4" w14:paraId="25D6BC23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7FB7C28" w14:textId="0168D13D" w:rsidR="004D627D" w:rsidRPr="004D627D" w:rsidRDefault="00F60DCB" w:rsidP="004D627D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Digitale Organisationsstruktur im Unterricht</w:t>
            </w:r>
          </w:p>
        </w:tc>
      </w:tr>
      <w:tr w:rsidR="00102EF9" w:rsidRPr="002234F4" w14:paraId="1221BD11" w14:textId="77777777" w:rsidTr="00666204">
        <w:tc>
          <w:tcPr>
            <w:tcW w:w="527" w:type="dxa"/>
          </w:tcPr>
          <w:p w14:paraId="5C40FE1B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26BE9547" w14:textId="407A3817" w:rsidR="00CB6B9C" w:rsidRPr="00CB6B9C" w:rsidRDefault="00102EF9" w:rsidP="004D627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bestehen verbindliche Absprachen zur Nutzung und Gestaltung einer einheitlichen 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digitalen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Lernumgebung (z.</w:t>
            </w:r>
            <w:r w:rsidR="006B4F0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B. Lernplattform, Dateiablage)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271E75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Arbeitsmaterialien stehen den Lernenden jederzeit und strukturiert in der einheitlichen Lernumgebung zur Verfügung. Der Workflow für die Bereitstellung und das Einsammeln von Dateien erfolgt über die einheitliche Lernumgebung.</w:t>
            </w:r>
          </w:p>
          <w:p w14:paraId="46C4910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Alle Kolleginnen und Kollegen halten die Absprachen zur einheitlichen Lernumgebung ein.</w:t>
            </w:r>
          </w:p>
          <w:p w14:paraId="7DFBA72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verbindliche Vorgaben zur Benennung in und Gestaltung der Lernumgebung, um eine nachvollziehbare Struktur für die Lernenden zu gewährleisten.</w:t>
            </w:r>
          </w:p>
          <w:p w14:paraId="3A47A00A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Erziehungsberechtigte sind darüber informiert, wo Materialien für ihre Kinder bereitgestellt werden.</w:t>
            </w:r>
          </w:p>
          <w:p w14:paraId="68D36DA2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schulweite Routinen für die Löschung nicht mehr benötigter Kurse.</w:t>
            </w:r>
          </w:p>
        </w:tc>
      </w:tr>
      <w:tr w:rsidR="00102EF9" w:rsidRPr="002234F4" w14:paraId="04D7E95F" w14:textId="77777777" w:rsidTr="00666204">
        <w:tc>
          <w:tcPr>
            <w:tcW w:w="527" w:type="dxa"/>
          </w:tcPr>
          <w:p w14:paraId="335EE727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7353D2E" w14:textId="268C0DBF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Es liegen klare Absprachen vor, ab welcher Jahrgangsstufe eine digitale Heftführung eingesetzt werden kann und wie Lehrkräfte die Lernenden dabei unterstützen.</w:t>
            </w:r>
          </w:p>
          <w:p w14:paraId="5078FACE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 ist geregelt, ob und wie eine digitale Heftführung eingesetzt werden kann. </w:t>
            </w:r>
          </w:p>
          <w:p w14:paraId="4C3A9CA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 Konzept zur Einführung und kontinuierlichen Unterstützung der Lernenden bei der digitalen Heftführung ist etabliert.</w:t>
            </w:r>
          </w:p>
          <w:p w14:paraId="7F98C17A" w14:textId="339E98B4" w:rsidR="00102EF9" w:rsidRPr="00544B94" w:rsidRDefault="00102EF9" w:rsidP="00544B94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klare Empfehlungen für geeignete Anwendungen digitaler Hefte</w:t>
            </w:r>
            <w:r w:rsidR="00544B94" w:rsidRPr="00544B9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2436D7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Lehrkräfte begleiten und unterstützen die Lernenden aktiv bei der Nutzung der digitalen Heftführung.</w:t>
            </w:r>
          </w:p>
          <w:p w14:paraId="0FCB49B9" w14:textId="69E673D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Strukturvorgaben oder -vorschläge für die Gestaltung digitaler Hefte.</w:t>
            </w:r>
          </w:p>
        </w:tc>
      </w:tr>
      <w:tr w:rsidR="00102EF9" w:rsidRPr="002234F4" w14:paraId="393C5780" w14:textId="77777777" w:rsidTr="00666204">
        <w:tc>
          <w:tcPr>
            <w:tcW w:w="527" w:type="dxa"/>
          </w:tcPr>
          <w:p w14:paraId="6A208699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CD89869" w14:textId="19307ECE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wurden Absprachen zur Kommunikation und Erreichbarkeit getroffen, um eine effektive Kommunikation sicherzustellen. </w:t>
            </w:r>
          </w:p>
          <w:p w14:paraId="1C5BE583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wurden einheitliche und festgelegte Kommunikationskanäle definiert und etabliert.</w:t>
            </w:r>
          </w:p>
          <w:p w14:paraId="0C80A5B0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Eine schulinterne Netiquette für die digitale Kommunikation ist vorhanden und wird angewendet.</w:t>
            </w:r>
          </w:p>
          <w:p w14:paraId="3E611546" w14:textId="6076ED2C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ist transparent kommuniziert, wann Lehrkräfte sowie Schülerinnen und Schüler nicht erreichbar sein müssen.</w:t>
            </w:r>
          </w:p>
          <w:p w14:paraId="2D79EB1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Diese Regelungen wurden auch den Erziehungsberechtigten mitgeteilt.</w:t>
            </w:r>
          </w:p>
        </w:tc>
      </w:tr>
    </w:tbl>
    <w:p w14:paraId="47292177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7BAD8AD0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588D26AD" w14:textId="77777777" w:rsidR="00CB6B9C" w:rsidRPr="00CB6B9C" w:rsidRDefault="00CB6B9C" w:rsidP="00CB6B9C">
      <w:pPr>
        <w:pStyle w:val="Kopfzeile"/>
        <w:ind w:left="360"/>
        <w:contextualSpacing/>
        <w:rPr>
          <w:rFonts w:ascii="Calibri" w:hAnsi="Calibri" w:cs="Calibri"/>
          <w:sz w:val="20"/>
          <w:szCs w:val="20"/>
        </w:rPr>
      </w:pPr>
    </w:p>
    <w:p w14:paraId="22FE1EEE" w14:textId="77777777" w:rsidR="006E2AE1" w:rsidRDefault="006E2AE1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0FBBEF41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6C9AF528" w14:textId="2B1BCEB7" w:rsidR="004D627D" w:rsidRPr="004D627D" w:rsidRDefault="00F60DCB" w:rsidP="00A049D6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Regeln für den Umgang mit den Endgeräten</w:t>
            </w:r>
          </w:p>
        </w:tc>
      </w:tr>
      <w:tr w:rsidR="00695F45" w:rsidRPr="002234F4" w14:paraId="2A1D8DF5" w14:textId="77777777" w:rsidTr="00666204">
        <w:tc>
          <w:tcPr>
            <w:tcW w:w="535" w:type="dxa"/>
          </w:tcPr>
          <w:p w14:paraId="7F7A8EB8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BC22E4B" w14:textId="315FC021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Schuleigene Regeln sind vorha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nd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en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 xml:space="preserve"> und 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d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>ecken alle relevanten Bereiche ab.</w:t>
            </w:r>
          </w:p>
          <w:p w14:paraId="0376BA0F" w14:textId="21212AE3" w:rsidR="00695F45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 xml:space="preserve">Schuleigene Regeln für die digitale Nutzung </w:t>
            </w:r>
            <w:r w:rsidR="009F4742">
              <w:rPr>
                <w:rFonts w:ascii="Calibri" w:hAnsi="Calibri" w:cs="Calibri"/>
                <w:color w:val="000000"/>
              </w:rPr>
              <w:t xml:space="preserve">der digitalen Endgeräte </w:t>
            </w:r>
            <w:r w:rsidRPr="00BD218E">
              <w:rPr>
                <w:rFonts w:ascii="Calibri" w:hAnsi="Calibri" w:cs="Calibri"/>
                <w:color w:val="000000"/>
              </w:rPr>
              <w:t>wurden erarbeitet und werden regelmäßig angepasst.</w:t>
            </w:r>
          </w:p>
          <w:p w14:paraId="7CCC7782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Diese Regeln decken alle relevanten Bereiche ab, darunter:</w:t>
            </w:r>
          </w:p>
          <w:p w14:paraId="4B11C0EB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Verantwortung für Gerät und Inhalte</w:t>
            </w:r>
          </w:p>
          <w:p w14:paraId="0322D99B" w14:textId="6C9B9683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Sichere Nutzung </w:t>
            </w:r>
          </w:p>
          <w:p w14:paraId="6B02C7CD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Sicherstellung der Einsatzbereitschaft von Geräten</w:t>
            </w:r>
          </w:p>
          <w:p w14:paraId="64B80207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Regelungen zu Kommunikation und Erreichbarkeit</w:t>
            </w:r>
          </w:p>
          <w:p w14:paraId="0232AF5F" w14:textId="27EA06C5" w:rsidR="00695F45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Nutzung innerhalb und außerhalb des Unterrichts</w:t>
            </w:r>
          </w:p>
          <w:p w14:paraId="6D7E8768" w14:textId="77777777" w:rsidR="00695F45" w:rsidRPr="00982D9F" w:rsidRDefault="00695F45" w:rsidP="00A04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2234F4" w14:paraId="027C15E7" w14:textId="77777777" w:rsidTr="00666204">
        <w:tc>
          <w:tcPr>
            <w:tcW w:w="535" w:type="dxa"/>
          </w:tcPr>
          <w:p w14:paraId="4ADBAD12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688B66CD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Die Regeln sind transparent kommuniziert und etabliert.</w:t>
            </w:r>
          </w:p>
          <w:p w14:paraId="46F3A97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erarbeiteten Regeln wurden eingeführt und mit den Lernenden besprochen.</w:t>
            </w:r>
          </w:p>
          <w:p w14:paraId="0CB89EF6" w14:textId="7C636799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Regeln sind jederzeit für alle Beteiligten einsehbar (z.</w:t>
            </w:r>
            <w:r w:rsidR="003A0F47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auf der Schulhomepage, als Aushang, in der Lernplattform).</w:t>
            </w:r>
          </w:p>
          <w:p w14:paraId="21B6F259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Eltern bzw. Erziehungsberechtigten wurden aktiv in die Kommunikation und Akzeptanz der Regeln eingebunden.</w:t>
            </w:r>
          </w:p>
        </w:tc>
      </w:tr>
      <w:tr w:rsidR="00695F45" w:rsidRPr="002234F4" w14:paraId="31F5D550" w14:textId="77777777" w:rsidTr="00666204">
        <w:tc>
          <w:tcPr>
            <w:tcW w:w="535" w:type="dxa"/>
          </w:tcPr>
          <w:p w14:paraId="6D610306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3DBE01A8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Es gibt Absprachen zum Vorgehen bei Verstößen. </w:t>
            </w:r>
          </w:p>
          <w:p w14:paraId="3D5259D5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existieren klare Absprachen zu Konsequenzen bei Fehlverhalten im Umgang mit digitalen Geräten (z.B. nicht aufgeladenes Gerät, vergessenes Gerät, unterrichtsfremde Nutzung).</w:t>
            </w:r>
          </w:p>
          <w:p w14:paraId="1B4D050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Bei Verletzungen von Persönlichkeitsrechten sind an der Schule klare Abläufe für das Vorgehen festgelegt.</w:t>
            </w:r>
          </w:p>
          <w:p w14:paraId="74C62C9D" w14:textId="10770F86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Ein regelmäßiger Austausch unter den Lehrkräften bezüglich des Umgangs mit Regelverstößen wird gefördert.</w:t>
            </w:r>
          </w:p>
          <w:p w14:paraId="71AA6BC8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für Unsicherheiten im Umgang mit Regelverstößen sind klar benannt und bekannt.</w:t>
            </w:r>
          </w:p>
        </w:tc>
      </w:tr>
      <w:tr w:rsidR="00695F45" w:rsidRPr="002234F4" w14:paraId="250E503A" w14:textId="77777777" w:rsidTr="00666204">
        <w:tc>
          <w:tcPr>
            <w:tcW w:w="535" w:type="dxa"/>
          </w:tcPr>
          <w:p w14:paraId="3F052911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0673B4AF" w14:textId="74D7BE54" w:rsidR="00BD6D5D" w:rsidRPr="00BD6D5D" w:rsidRDefault="00BD6D5D" w:rsidP="00BD6D5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BD6D5D">
              <w:rPr>
                <w:rFonts w:ascii="Calibri" w:hAnsi="Calibri" w:cs="Calibri"/>
                <w:i/>
                <w:iCs/>
                <w:color w:val="000000"/>
              </w:rPr>
              <w:t>Es gibt ein Konzept zur Sensibilisierung der Lernenden für den verantwortungsvollen Umgang mit den Endgeräten</w:t>
            </w:r>
            <w:r w:rsidR="009E335E">
              <w:rPr>
                <w:rFonts w:ascii="Calibri" w:hAnsi="Calibri" w:cs="Calibri"/>
                <w:i/>
                <w:iCs/>
                <w:color w:val="000000"/>
              </w:rPr>
              <w:t>.</w:t>
            </w:r>
            <w:r w:rsidRPr="00BD6D5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  <w:p w14:paraId="191615E5" w14:textId="1A714513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Es wird ein aktives Bewusstsein für die Notwendigkeit und den Sinn von Regeln im Umgang mit digitalen Endgeräten gefördert.</w:t>
            </w:r>
          </w:p>
          <w:p w14:paraId="7F52C2F6" w14:textId="5C973C58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 Schule verfügt über Konzepte für die medienpädagogische Prävention</w:t>
            </w:r>
            <w:r w:rsidR="00505A51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(z.</w:t>
            </w:r>
            <w:r w:rsidR="004D627D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B. zu Cybermobbing, Sexting, Medienkonsum).</w:t>
            </w:r>
          </w:p>
        </w:tc>
      </w:tr>
    </w:tbl>
    <w:p w14:paraId="79C93F26" w14:textId="77777777" w:rsidR="00B46F86" w:rsidRPr="00B46F86" w:rsidRDefault="00B46F86" w:rsidP="00B46F86">
      <w:pPr>
        <w:rPr>
          <w:rFonts w:ascii="Calibri" w:hAnsi="Calibri" w:cs="Calibri"/>
          <w:color w:val="000000"/>
          <w:sz w:val="22"/>
          <w:szCs w:val="22"/>
        </w:rPr>
      </w:pPr>
    </w:p>
    <w:p w14:paraId="7D3A93BB" w14:textId="77777777" w:rsidR="00B95FB5" w:rsidRDefault="00B95FB5">
      <w: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35"/>
        <w:gridCol w:w="9950"/>
      </w:tblGrid>
      <w:tr w:rsidR="004D627D" w:rsidRPr="002234F4" w14:paraId="755AF9DA" w14:textId="77777777" w:rsidTr="00666204">
        <w:tc>
          <w:tcPr>
            <w:tcW w:w="10485" w:type="dxa"/>
            <w:gridSpan w:val="2"/>
            <w:shd w:val="clear" w:color="auto" w:fill="215E99" w:themeFill="text2" w:themeFillTint="BF"/>
          </w:tcPr>
          <w:p w14:paraId="3798A0BB" w14:textId="4EE17D07" w:rsidR="004D627D" w:rsidRPr="004D627D" w:rsidRDefault="00F60DCB" w:rsidP="00A61E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Lernende: Einarbeitung &amp; Kompetenzaufbau</w:t>
            </w:r>
          </w:p>
        </w:tc>
      </w:tr>
      <w:tr w:rsidR="00A61E8B" w:rsidRPr="002234F4" w14:paraId="36B8BD4B" w14:textId="77777777" w:rsidTr="00666204">
        <w:tc>
          <w:tcPr>
            <w:tcW w:w="535" w:type="dxa"/>
          </w:tcPr>
          <w:p w14:paraId="1B7FE860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328D3ED" w14:textId="58CBD89B" w:rsidR="0064368F" w:rsidRPr="0064368F" w:rsidRDefault="0064368F" w:rsidP="0064368F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4368F">
              <w:rPr>
                <w:rFonts w:ascii="Calibri" w:hAnsi="Calibri" w:cs="Calibri"/>
                <w:i/>
                <w:iCs/>
                <w:color w:val="000000"/>
              </w:rPr>
              <w:t>Grundlegende Inhalte zur Heranführung der Lernenden an die Arbeitsweise (Einarbeitung der Lernenden) wurden definiert.</w:t>
            </w:r>
          </w:p>
          <w:p w14:paraId="17774E08" w14:textId="3D58F40A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Wichtige Inhalte aus den Bereichen Regeln, Gerätebedienung, Lernorganisation</w:t>
            </w:r>
            <w:r w:rsidR="002419A8">
              <w:rPr>
                <w:rFonts w:ascii="Calibri" w:hAnsi="Calibri" w:cs="Calibri"/>
                <w:color w:val="000000"/>
              </w:rPr>
              <w:t xml:space="preserve">, </w:t>
            </w:r>
            <w:r w:rsidR="002419A8" w:rsidRPr="002906D2">
              <w:rPr>
                <w:rFonts w:ascii="Calibri" w:hAnsi="Calibri" w:cs="Calibri"/>
                <w:color w:val="000000"/>
              </w:rPr>
              <w:t>Problemlösung</w:t>
            </w:r>
            <w:r w:rsidR="002419A8">
              <w:rPr>
                <w:rFonts w:ascii="Calibri" w:hAnsi="Calibri" w:cs="Calibri"/>
                <w:color w:val="000000"/>
              </w:rPr>
              <w:t xml:space="preserve"> </w:t>
            </w:r>
            <w:r w:rsidRPr="002906D2">
              <w:rPr>
                <w:rFonts w:ascii="Calibri" w:hAnsi="Calibri" w:cs="Calibri"/>
                <w:color w:val="000000"/>
              </w:rPr>
              <w:t xml:space="preserve">und </w:t>
            </w:r>
            <w:r w:rsidR="002419A8" w:rsidRPr="002906D2">
              <w:rPr>
                <w:rFonts w:ascii="Calibri" w:hAnsi="Calibri" w:cs="Calibri"/>
                <w:color w:val="000000"/>
              </w:rPr>
              <w:t xml:space="preserve">Medienerziehung </w:t>
            </w:r>
            <w:r w:rsidRPr="002906D2">
              <w:rPr>
                <w:rFonts w:ascii="Calibri" w:hAnsi="Calibri" w:cs="Calibri"/>
                <w:color w:val="000000"/>
              </w:rPr>
              <w:t>wurden definiert.</w:t>
            </w:r>
          </w:p>
          <w:p w14:paraId="56F9582E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Es ist festgelegt, welche dieser Inhalte zu Beginn der Nutzung digitaler Endgeräte im Unterricht thematisiert werden müssen.</w:t>
            </w:r>
          </w:p>
        </w:tc>
      </w:tr>
      <w:tr w:rsidR="00A61E8B" w:rsidRPr="002234F4" w14:paraId="04B5DEF3" w14:textId="77777777" w:rsidTr="00666204">
        <w:tc>
          <w:tcPr>
            <w:tcW w:w="535" w:type="dxa"/>
          </w:tcPr>
          <w:p w14:paraId="6842C541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49634BD" w14:textId="59386763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gibt ein Konzept zur Vermittlung der Inhalte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(Einarbeitungskonzept)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. </w:t>
            </w:r>
          </w:p>
          <w:p w14:paraId="7172269A" w14:textId="7C665AC8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 festgelegt, wer die Vermittlung der Inhalte übernimmt (z.</w:t>
            </w:r>
            <w:r w:rsidR="00B40D43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Klassen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="00B40D43">
              <w:rPr>
                <w:rFonts w:ascii="Calibri" w:hAnsi="Calibri" w:cs="Calibri"/>
                <w:color w:val="000000"/>
              </w:rPr>
              <w:t>eitung</w:t>
            </w:r>
            <w:r w:rsidRPr="002234F4">
              <w:rPr>
                <w:rFonts w:ascii="Calibri" w:hAnsi="Calibri" w:cs="Calibri"/>
                <w:color w:val="000000"/>
              </w:rPr>
              <w:t>, ein Team von Lehrkräften).</w:t>
            </w:r>
          </w:p>
          <w:p w14:paraId="433FCA05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ist definiert, wann und in welcher Form die Bausteine des Einarbeitungskonzeptes stattfinden.</w:t>
            </w:r>
          </w:p>
          <w:p w14:paraId="01360733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Das Konzept ist verschriftlicht und allen Lehrkräften bekannt.</w:t>
            </w:r>
          </w:p>
          <w:p w14:paraId="10BED9CA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Jede Lehrkraft kann ihre Unterrichtsplanung auf verlässliche digitale Kompetenzen bei den Lernenden aufbauen.</w:t>
            </w:r>
          </w:p>
        </w:tc>
      </w:tr>
      <w:tr w:rsidR="00A61E8B" w:rsidRPr="002234F4" w14:paraId="6595632E" w14:textId="77777777" w:rsidTr="00666204">
        <w:tc>
          <w:tcPr>
            <w:tcW w:w="535" w:type="dxa"/>
          </w:tcPr>
          <w:p w14:paraId="5036B09C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5D2225D4" w14:textId="00E79A2D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liegen Unterstützungsangebote zur Begleitung der Verantwortliche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(z.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B.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Klassenl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ei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tung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 in 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hrer Aufgabe vor. </w:t>
            </w:r>
          </w:p>
          <w:p w14:paraId="02120D63" w14:textId="50126D44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Vorschläge zur Vermittlung der Inhalte</w:t>
            </w:r>
            <w:r w:rsidR="00B40D43">
              <w:rPr>
                <w:rFonts w:ascii="Calibri" w:hAnsi="Calibri" w:cs="Calibri"/>
                <w:color w:val="000000"/>
              </w:rPr>
              <w:t xml:space="preserve"> und weitere Unterstützungsmaterialien</w:t>
            </w:r>
            <w:r w:rsidRPr="002234F4">
              <w:rPr>
                <w:rFonts w:ascii="Calibri" w:hAnsi="Calibri" w:cs="Calibri"/>
                <w:color w:val="000000"/>
              </w:rPr>
              <w:t>, insbesondere zur Einführung der Geräte, stehen zur Verfügung</w:t>
            </w:r>
            <w:r w:rsidR="00B40D43">
              <w:rPr>
                <w:rFonts w:ascii="Calibri" w:hAnsi="Calibri" w:cs="Calibri"/>
                <w:color w:val="000000"/>
              </w:rPr>
              <w:t xml:space="preserve"> (z.</w:t>
            </w:r>
            <w:r w:rsidR="009F4742">
              <w:rPr>
                <w:rFonts w:ascii="Calibri" w:hAnsi="Calibri" w:cs="Calibri"/>
                <w:color w:val="000000"/>
              </w:rPr>
              <w:t xml:space="preserve"> </w:t>
            </w:r>
            <w:r w:rsidR="00B40D43">
              <w:rPr>
                <w:rFonts w:ascii="Calibri" w:hAnsi="Calibri" w:cs="Calibri"/>
                <w:color w:val="000000"/>
              </w:rPr>
              <w:t xml:space="preserve">B. </w:t>
            </w:r>
            <w:proofErr w:type="gramStart"/>
            <w:r w:rsidR="00B40D43">
              <w:rPr>
                <w:rFonts w:ascii="Calibri" w:hAnsi="Calibri" w:cs="Calibri"/>
                <w:color w:val="000000"/>
              </w:rPr>
              <w:t>digitalkompass.schule</w:t>
            </w:r>
            <w:proofErr w:type="gramEnd"/>
            <w:r w:rsidR="00B40D43">
              <w:rPr>
                <w:rFonts w:ascii="Calibri" w:hAnsi="Calibri" w:cs="Calibri"/>
                <w:color w:val="000000"/>
              </w:rPr>
              <w:t>)</w:t>
            </w:r>
            <w:r w:rsidRPr="002234F4">
              <w:rPr>
                <w:rFonts w:ascii="Calibri" w:hAnsi="Calibri" w:cs="Calibri"/>
                <w:color w:val="000000"/>
              </w:rPr>
              <w:t>.</w:t>
            </w:r>
          </w:p>
          <w:p w14:paraId="09983A80" w14:textId="5184B762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Über den Stundenplan kann ein geeigneter Zeitrahmen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auch außerhalb der regulären Unterrichtszeit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für die Vermittlung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 w:rsidR="00544B94">
              <w:rPr>
                <w:rFonts w:ascii="Calibri" w:hAnsi="Calibri" w:cs="Calibri"/>
                <w:color w:val="000000"/>
              </w:rPr>
              <w:t xml:space="preserve">und Wiederholung der Inhalte </w:t>
            </w:r>
            <w:r w:rsidRPr="002234F4">
              <w:rPr>
                <w:rFonts w:ascii="Calibri" w:hAnsi="Calibri" w:cs="Calibri"/>
                <w:color w:val="000000"/>
              </w:rPr>
              <w:t>geschaffen werden.</w:t>
            </w:r>
          </w:p>
          <w:p w14:paraId="3009086F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Schülerinnen und Schüler unterstützen bei der Vermittlung von Inhalten.</w:t>
            </w:r>
          </w:p>
        </w:tc>
      </w:tr>
    </w:tbl>
    <w:p w14:paraId="0D5B0162" w14:textId="77777777" w:rsidR="00695F45" w:rsidRDefault="00695F45" w:rsidP="00695F45">
      <w:pPr>
        <w:pStyle w:val="Kopfzeile"/>
        <w:ind w:left="360"/>
        <w:rPr>
          <w:rFonts w:ascii="Calibri" w:hAnsi="Calibri" w:cs="Calibri"/>
          <w:sz w:val="22"/>
          <w:szCs w:val="22"/>
        </w:rPr>
      </w:pPr>
    </w:p>
    <w:p w14:paraId="72F5F080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BBEDFC2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2C60987F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CEF6E6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F9E07D2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19DE3B6" w14:textId="77777777" w:rsidR="001C07AC" w:rsidRDefault="001C07AC">
      <w:r>
        <w:br w:type="page"/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32"/>
        <w:gridCol w:w="9669"/>
      </w:tblGrid>
      <w:tr w:rsidR="004D627D" w:rsidRPr="002234F4" w14:paraId="5259EC51" w14:textId="77777777" w:rsidTr="00666204">
        <w:tc>
          <w:tcPr>
            <w:tcW w:w="10201" w:type="dxa"/>
            <w:gridSpan w:val="2"/>
            <w:shd w:val="clear" w:color="auto" w:fill="215E99" w:themeFill="text2" w:themeFillTint="BF"/>
          </w:tcPr>
          <w:p w14:paraId="44BAEE6F" w14:textId="3676DFE2" w:rsidR="004D627D" w:rsidRPr="004D627D" w:rsidRDefault="00F60DCB" w:rsidP="007859B2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Lehrende: </w:t>
            </w:r>
            <w:r w:rsidR="009F47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Grundlagen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&amp; Fortbildung </w:t>
            </w:r>
          </w:p>
        </w:tc>
      </w:tr>
      <w:tr w:rsidR="00695F45" w:rsidRPr="00DD0E9C" w14:paraId="2BDE1BFF" w14:textId="77777777" w:rsidTr="00666204">
        <w:tc>
          <w:tcPr>
            <w:tcW w:w="532" w:type="dxa"/>
          </w:tcPr>
          <w:p w14:paraId="5F64895F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66E30B7F" w14:textId="6712991C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 xml:space="preserve">Grundlegende </w:t>
            </w:r>
            <w:r w:rsidR="0021764B" w:rsidRPr="004D627D">
              <w:rPr>
                <w:rFonts w:ascii="Calibri" w:hAnsi="Calibri" w:cs="Calibri"/>
                <w:i/>
                <w:iCs/>
              </w:rPr>
              <w:t xml:space="preserve">Kompetenzen </w:t>
            </w:r>
            <w:r w:rsidRPr="004D627D">
              <w:rPr>
                <w:rFonts w:ascii="Calibri" w:hAnsi="Calibri" w:cs="Calibri"/>
                <w:i/>
                <w:iCs/>
              </w:rPr>
              <w:t>wurden gemeinsam festgelegt.</w:t>
            </w:r>
          </w:p>
          <w:p w14:paraId="554C0FB1" w14:textId="1A7B673D" w:rsidR="0021764B" w:rsidRPr="004D627D" w:rsidRDefault="0021764B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Dazu wurden in den Bereichen (</w:t>
            </w:r>
            <w:r w:rsidR="009F4742">
              <w:rPr>
                <w:rFonts w:ascii="Calibri" w:hAnsi="Calibri" w:cs="Calibri"/>
                <w:color w:val="000000"/>
              </w:rPr>
              <w:t>d</w:t>
            </w:r>
            <w:r w:rsidRPr="004D627D">
              <w:rPr>
                <w:rFonts w:ascii="Calibri" w:hAnsi="Calibri" w:cs="Calibri"/>
                <w:color w:val="000000"/>
              </w:rPr>
              <w:t>igitale Organisationsstruktur an der Schule</w:t>
            </w:r>
            <w:r w:rsidR="004D627D" w:rsidRPr="004D627D">
              <w:rPr>
                <w:rFonts w:ascii="Calibri" w:hAnsi="Calibri" w:cs="Calibri"/>
                <w:color w:val="000000"/>
              </w:rPr>
              <w:t>, Technik im Klassenzimmer, u</w:t>
            </w:r>
            <w:r w:rsidRPr="004D627D">
              <w:rPr>
                <w:rFonts w:ascii="Calibri" w:hAnsi="Calibri" w:cs="Calibri"/>
                <w:color w:val="000000"/>
              </w:rPr>
              <w:t>nterrichtliche Vereinbarungen</w:t>
            </w:r>
            <w:r w:rsidR="004D627D" w:rsidRPr="004D627D">
              <w:rPr>
                <w:rFonts w:ascii="Calibri" w:hAnsi="Calibri" w:cs="Calibri"/>
                <w:color w:val="000000"/>
              </w:rPr>
              <w:t>, e</w:t>
            </w:r>
            <w:r w:rsidRPr="004D627D">
              <w:rPr>
                <w:rFonts w:ascii="Calibri" w:hAnsi="Calibri" w:cs="Calibri"/>
                <w:color w:val="000000"/>
              </w:rPr>
              <w:t>ffektive Klassenführung</w:t>
            </w:r>
            <w:r w:rsidR="004D627D" w:rsidRPr="004D627D">
              <w:rPr>
                <w:rFonts w:ascii="Calibri" w:hAnsi="Calibri" w:cs="Calibri"/>
                <w:color w:val="000000"/>
              </w:rPr>
              <w:t xml:space="preserve">, </w:t>
            </w:r>
            <w:r w:rsidRPr="004D627D">
              <w:rPr>
                <w:rFonts w:ascii="Calibri" w:hAnsi="Calibri" w:cs="Calibri"/>
                <w:color w:val="000000"/>
              </w:rPr>
              <w:t xml:space="preserve">Unterricht weiterentwickeln) schulspezifische Schwerpunkte festgelegt und an die schulischen Rahmenbedingungen (z. B. schulspezifische Anwendungen) angepasst. </w:t>
            </w:r>
          </w:p>
          <w:p w14:paraId="524F1A94" w14:textId="1B465E32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wurden </w:t>
            </w:r>
            <w:r w:rsidR="00B40D43">
              <w:rPr>
                <w:rFonts w:ascii="Calibri" w:hAnsi="Calibri" w:cs="Calibri"/>
                <w:color w:val="000000"/>
              </w:rPr>
              <w:t xml:space="preserve">daraus </w:t>
            </w:r>
            <w:r w:rsidRPr="004D627D">
              <w:rPr>
                <w:rFonts w:ascii="Calibri" w:hAnsi="Calibri" w:cs="Calibri"/>
                <w:color w:val="000000"/>
              </w:rPr>
              <w:t>digitale Kompetenzen</w:t>
            </w:r>
            <w:r w:rsidR="009F4742" w:rsidRPr="004D627D">
              <w:rPr>
                <w:rFonts w:ascii="Calibri" w:hAnsi="Calibri" w:cs="Calibri"/>
                <w:color w:val="000000"/>
              </w:rPr>
              <w:t>, über die eine Lehrkraft verfügen sollte, um an der Schule unterrichten zu können</w:t>
            </w:r>
            <w:r w:rsidR="00544B94">
              <w:rPr>
                <w:rFonts w:ascii="Calibri" w:hAnsi="Calibri" w:cs="Calibri"/>
                <w:color w:val="000000"/>
              </w:rPr>
              <w:t xml:space="preserve"> </w:t>
            </w:r>
            <w:r w:rsidR="009F4742">
              <w:rPr>
                <w:rFonts w:ascii="Calibri" w:hAnsi="Calibri" w:cs="Calibri"/>
                <w:color w:val="000000"/>
              </w:rPr>
              <w:t>abgeleitet</w:t>
            </w:r>
            <w:r w:rsidRPr="004D627D">
              <w:rPr>
                <w:rFonts w:ascii="Calibri" w:hAnsi="Calibri" w:cs="Calibri"/>
                <w:color w:val="000000"/>
              </w:rPr>
              <w:t xml:space="preserve"> und formulier</w:t>
            </w:r>
            <w:r w:rsidR="009F4742">
              <w:rPr>
                <w:rFonts w:ascii="Calibri" w:hAnsi="Calibri" w:cs="Calibri"/>
                <w:color w:val="000000"/>
              </w:rPr>
              <w:t xml:space="preserve">t. </w:t>
            </w:r>
          </w:p>
          <w:p w14:paraId="3FBB7D20" w14:textId="3E616F6F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 Kompetenzen wurden um die spezifischen Bedürfnisse eine</w:t>
            </w:r>
            <w:r w:rsidR="001D2D84" w:rsidRPr="004D627D">
              <w:rPr>
                <w:rFonts w:ascii="Calibri" w:hAnsi="Calibri" w:cs="Calibri"/>
                <w:color w:val="000000"/>
              </w:rPr>
              <w:t>s Unterrichts mit mobilen Endgeräten erweitert</w:t>
            </w:r>
            <w:r w:rsidRPr="004D627D">
              <w:rPr>
                <w:rFonts w:ascii="Calibri" w:hAnsi="Calibri" w:cs="Calibri"/>
                <w:color w:val="000000"/>
              </w:rPr>
              <w:t>.</w:t>
            </w:r>
          </w:p>
          <w:p w14:paraId="23205EB5" w14:textId="4F3FF596" w:rsidR="00695F45" w:rsidRPr="004D627D" w:rsidRDefault="00695F45" w:rsidP="001D2D84">
            <w:pPr>
              <w:pStyle w:val="Listenabsatz"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DD0E9C" w14:paraId="1AC8C184" w14:textId="77777777" w:rsidTr="00666204">
        <w:tc>
          <w:tcPr>
            <w:tcW w:w="532" w:type="dxa"/>
          </w:tcPr>
          <w:p w14:paraId="02E4E21A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7A2A9FC4" w14:textId="0E06DF48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>Lehrkräfte werden systematisch in das Unterrichten mit mobilen Endgeräten eingearbeitet (Einarbeitungskonzept).</w:t>
            </w:r>
          </w:p>
          <w:p w14:paraId="462B8FD7" w14:textId="30892B9E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existiert ein Konzept zur systematischen Einarbeitung von Lehrkräften in das </w:t>
            </w:r>
            <w:r w:rsidR="00020FB2" w:rsidRPr="009F4742">
              <w:rPr>
                <w:rFonts w:ascii="Calibri" w:hAnsi="Calibri" w:cs="Calibri"/>
              </w:rPr>
              <w:t>Unterrichten mit mobilen Endgeräten</w:t>
            </w:r>
            <w:r w:rsidRPr="009F4742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(z. B. Tutoren, verpflichtende Fortbildungen, Materialien)</w:t>
            </w:r>
            <w:r w:rsidR="009F4742">
              <w:rPr>
                <w:rFonts w:ascii="Calibri" w:hAnsi="Calibri" w:cs="Calibri"/>
                <w:color w:val="000000"/>
              </w:rPr>
              <w:t>.</w:t>
            </w:r>
          </w:p>
          <w:p w14:paraId="1039F716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Dieses Konzept ist fest in der schulinternen Fortbildungsplanung verankert.</w:t>
            </w:r>
          </w:p>
        </w:tc>
      </w:tr>
      <w:tr w:rsidR="00695F45" w:rsidRPr="00DD0E9C" w14:paraId="30B5B5F6" w14:textId="77777777" w:rsidTr="00666204">
        <w:tc>
          <w:tcPr>
            <w:tcW w:w="532" w:type="dxa"/>
          </w:tcPr>
          <w:p w14:paraId="22B4931C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047C6ED2" w14:textId="468893A5" w:rsidR="00695F45" w:rsidRPr="004D627D" w:rsidRDefault="00CE2E4B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  <w:color w:val="000000"/>
              </w:rPr>
              <w:t>Die Fortbildungsplanung wird kontinuierlich an die Herausforderung der veränderten Ausstattung angepasst.</w:t>
            </w:r>
          </w:p>
          <w:p w14:paraId="34B41301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gibt Schwerpunktsetzungen im Fortbildungsplan, die kurz-, mittel- und langfristige Bedarfe festlegen.</w:t>
            </w:r>
          </w:p>
          <w:p w14:paraId="7B49E759" w14:textId="6FF11681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finden regelmäßig 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qualitative </w:t>
            </w:r>
            <w:r w:rsidRPr="004D627D">
              <w:rPr>
                <w:rFonts w:ascii="Calibri" w:hAnsi="Calibri" w:cs="Calibri"/>
                <w:color w:val="000000"/>
              </w:rPr>
              <w:t>Fortbildungen mit passenden Inhalten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 statt.</w:t>
            </w:r>
          </w:p>
          <w:p w14:paraId="5D3D474D" w14:textId="629B6B8B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 Fortbildungsinhalte sind für</w:t>
            </w:r>
            <w:r w:rsidR="000A2CA4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viele Lehrkräften relevant oder unterstützen spezifische Gruppen (z.B. neue Lehrkräfte).</w:t>
            </w:r>
          </w:p>
          <w:p w14:paraId="12E54C7D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werden ansprechende Formate für die Umsetzung der Fortbildungen gewählt.</w:t>
            </w:r>
          </w:p>
          <w:p w14:paraId="01B40007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Eine sinnvolle Zeitplanung über das gesamte Schuljahr ermöglicht allen Lehrkräften die Teilnahme an Fortbildungen.</w:t>
            </w:r>
          </w:p>
          <w:p w14:paraId="7171AAE3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Schulinterne und externe Expertinnen bzw. Experten werden für die Fortbildungen eingebunden.</w:t>
            </w:r>
          </w:p>
        </w:tc>
      </w:tr>
    </w:tbl>
    <w:p w14:paraId="01C63349" w14:textId="77777777" w:rsidR="00826C76" w:rsidRDefault="00826C76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5063F99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0FDF3C3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440D30F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B882A4" w14:textId="77777777" w:rsidR="00020FB2" w:rsidRDefault="00020FB2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54A5193A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06A2F4B" w14:textId="72F3FB4C" w:rsidR="004D627D" w:rsidRPr="004D627D" w:rsidRDefault="00F60DCB" w:rsidP="007859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Schulinterne Unterstützungssysteme</w:t>
            </w:r>
          </w:p>
        </w:tc>
      </w:tr>
      <w:tr w:rsidR="003E2555" w:rsidRPr="002234F4" w14:paraId="382B59F5" w14:textId="77777777" w:rsidTr="00666204">
        <w:tc>
          <w:tcPr>
            <w:tcW w:w="535" w:type="dxa"/>
          </w:tcPr>
          <w:p w14:paraId="200EDAA3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74E65BFB" w14:textId="77777777" w:rsidR="003E2555" w:rsidRDefault="003E2555" w:rsidP="003E2555">
            <w:pPr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Der Unterstützungsbedarf wurde an der Schule definiert und passende Lösungen dafür gefunden. </w:t>
            </w:r>
          </w:p>
          <w:p w14:paraId="446391F0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Der Unterstützungsbedarf in den Bereichen Technik, Unterricht und Medienerziehung wurde an der Schule definiert.</w:t>
            </w:r>
          </w:p>
          <w:p w14:paraId="3AE2714A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Für jede Zielgruppe (Lernende, Lehrende und Erziehungsberechtigte) wurden relevante Unterstützungsbereiche ausgewählt.</w:t>
            </w:r>
          </w:p>
          <w:p w14:paraId="1C20FA34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wurden passende Formen der Unterstützung gefunden und etabliert (z.B. benannte Ansprechpartner, zugängliche Unterstützungsmaterialien, FAQs).</w:t>
            </w:r>
          </w:p>
        </w:tc>
      </w:tr>
      <w:tr w:rsidR="003E2555" w:rsidRPr="002234F4" w14:paraId="1EC214A5" w14:textId="77777777" w:rsidTr="00666204">
        <w:tc>
          <w:tcPr>
            <w:tcW w:w="535" w:type="dxa"/>
          </w:tcPr>
          <w:p w14:paraId="7226E744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1715778" w14:textId="5902D6F1" w:rsidR="003E2555" w:rsidRPr="002234F4" w:rsidRDefault="003E2555" w:rsidP="003E255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Das Unterstützungsangebot ist allen bekannt, und die vorgegebenen Wege werden eingehalten.</w:t>
            </w:r>
          </w:p>
          <w:p w14:paraId="44354C8B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sind klar benannt, und deren Erreichbarkeit ist transparent kommuniziert.</w:t>
            </w:r>
          </w:p>
          <w:p w14:paraId="4BC641F1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Unterstützungsmaterialien zur Lösung </w:t>
            </w:r>
            <w:r>
              <w:rPr>
                <w:rFonts w:ascii="Calibri" w:hAnsi="Calibri" w:cs="Calibri"/>
                <w:color w:val="000000"/>
              </w:rPr>
              <w:t>häufiger</w:t>
            </w:r>
            <w:r w:rsidRPr="002234F4">
              <w:rPr>
                <w:rFonts w:ascii="Calibri" w:hAnsi="Calibri" w:cs="Calibri"/>
                <w:color w:val="000000"/>
              </w:rPr>
              <w:t xml:space="preserve"> Probleme sind für alle zugänglich und werden aktiv genutzt.</w:t>
            </w:r>
          </w:p>
          <w:p w14:paraId="0FDCA567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wird klar kommuniziert, für welche Bereiche die Schule keine Zuständigkeit hat.</w:t>
            </w:r>
          </w:p>
        </w:tc>
      </w:tr>
    </w:tbl>
    <w:p w14:paraId="7F849C65" w14:textId="77777777" w:rsidR="00695F45" w:rsidRDefault="00695F45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49C84D95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279ED14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088DC491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32F0C10D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D870280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17B77B1" w14:textId="4FB5C374" w:rsidR="00F60DCB" w:rsidRDefault="00F60D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3"/>
        <w:gridCol w:w="9810"/>
      </w:tblGrid>
      <w:tr w:rsidR="00F60DCB" w:rsidRPr="002234F4" w14:paraId="659350DC" w14:textId="77777777" w:rsidTr="00BC6CA1">
        <w:tc>
          <w:tcPr>
            <w:tcW w:w="10343" w:type="dxa"/>
            <w:gridSpan w:val="2"/>
            <w:shd w:val="clear" w:color="auto" w:fill="215E99" w:themeFill="text2" w:themeFillTint="BF"/>
          </w:tcPr>
          <w:p w14:paraId="37E19EBC" w14:textId="5A1D565A" w:rsidR="00F60DCB" w:rsidRPr="004D627D" w:rsidRDefault="00F60DCB" w:rsidP="00BC6C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6</w:t>
            </w:r>
            <w:r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Technik und Software </w:t>
            </w:r>
          </w:p>
        </w:tc>
      </w:tr>
      <w:tr w:rsidR="00F60DCB" w:rsidRPr="002234F4" w14:paraId="1BA3A377" w14:textId="77777777" w:rsidTr="00BC6CA1">
        <w:tc>
          <w:tcPr>
            <w:tcW w:w="533" w:type="dxa"/>
          </w:tcPr>
          <w:p w14:paraId="5F91FB76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E68BB26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Die Technik im Klassenzimmer ist an die Ausstattung </w:t>
            </w:r>
            <w:r>
              <w:rPr>
                <w:rFonts w:ascii="Calibri" w:hAnsi="Calibri" w:cs="Calibri"/>
                <w:i/>
                <w:iCs/>
              </w:rPr>
              <w:t xml:space="preserve">mit mobilen Schülerendgeräten </w:t>
            </w:r>
            <w:r w:rsidRPr="002234F4">
              <w:rPr>
                <w:rFonts w:ascii="Calibri" w:hAnsi="Calibri" w:cs="Calibri"/>
                <w:i/>
                <w:iCs/>
              </w:rPr>
              <w:t>angepasst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12E0A67B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Lehrer- und Schülergeräte sind stabil per WLAN im Schulnetz eingebunden und verfügen über eine zuverlässige Internetverbindung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4F5F71F5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Projektion auf die Großbilddarstellung (inkl. Ton und Bild) funktioniert zuverlässig, auch kabellos.</w:t>
            </w:r>
          </w:p>
        </w:tc>
      </w:tr>
      <w:tr w:rsidR="00F60DCB" w:rsidRPr="002234F4" w14:paraId="1DA9715C" w14:textId="77777777" w:rsidTr="00BC6CA1">
        <w:tc>
          <w:tcPr>
            <w:tcW w:w="533" w:type="dxa"/>
          </w:tcPr>
          <w:p w14:paraId="6FC2CF70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1F9CF945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Vereinbarungen zu unterrichtlichen Anwendungen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4139006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gibt </w:t>
            </w:r>
            <w:r>
              <w:rPr>
                <w:rFonts w:ascii="Calibri" w:hAnsi="Calibri" w:cs="Calibri"/>
                <w:color w:val="000000"/>
              </w:rPr>
              <w:t xml:space="preserve">abgestimmt auf die Klassenstufe </w:t>
            </w:r>
            <w:r w:rsidRPr="000A2196">
              <w:rPr>
                <w:rFonts w:ascii="Calibri" w:hAnsi="Calibri" w:cs="Calibri"/>
                <w:color w:val="000000"/>
              </w:rPr>
              <w:t>Absprachen, welche grundlegenden Anwendungen im Unterricht auf den Schülergeräten zur Verfügung stehen.</w:t>
            </w:r>
          </w:p>
          <w:p w14:paraId="5D892CB7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Weiterführende Anwendungen, beispielsweise für medienproduktives Arbeiten oder fachspezifischen Einsatz, sind eingeführt.</w:t>
            </w:r>
          </w:p>
          <w:p w14:paraId="72854FF4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ist klar geregelt, wie neue Anwendungen auf Schülergeräten ergänzt werden können. </w:t>
            </w:r>
          </w:p>
          <w:p w14:paraId="7F593DEC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Die angesprochenen Anwendungen und Regelungen sind allen Lehrkräften bekannt</w:t>
            </w:r>
            <w:r>
              <w:rPr>
                <w:rFonts w:ascii="Calibri" w:hAnsi="Calibri" w:cs="Calibri"/>
                <w:color w:val="000000"/>
              </w:rPr>
              <w:t xml:space="preserve"> und zugänglich dokumentiert</w:t>
            </w:r>
            <w:r w:rsidRPr="000A219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60DCB" w:rsidRPr="002234F4" w14:paraId="06B6E4F3" w14:textId="77777777" w:rsidTr="00BC6CA1">
        <w:tc>
          <w:tcPr>
            <w:tcW w:w="533" w:type="dxa"/>
          </w:tcPr>
          <w:p w14:paraId="086E9C2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3507B249" w14:textId="77777777" w:rsidR="007352DD" w:rsidRPr="007352DD" w:rsidRDefault="007352DD" w:rsidP="007352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i/>
                <w:iCs/>
              </w:rPr>
              <w:t xml:space="preserve">Die Schülergeräte sind so konfiguriert, dass sie störungsfrei im Unterricht genutzt werden können. </w:t>
            </w:r>
          </w:p>
          <w:p w14:paraId="0C248DC9" w14:textId="2781AE47" w:rsidR="00F60DCB" w:rsidRPr="007352DD" w:rsidRDefault="00F60DCB" w:rsidP="007352DD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color w:val="000000"/>
              </w:rPr>
              <w:t>Grundlegende Apps bzw. Programme sind auf den Geräten einsatzbereit.</w:t>
            </w:r>
          </w:p>
          <w:p w14:paraId="71600E91" w14:textId="77777777" w:rsidR="00F60DC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Alle technischen Möglichkeiten werden ausgeschöpft, um die Geräte für den unterrichtlichen Einsatz zu optimieren (abhängig von der Geräteadministration), wie z.B.:</w:t>
            </w:r>
          </w:p>
          <w:p w14:paraId="0D1BB382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 xml:space="preserve">Schaffung einer reizarmen Lernumgebung </w:t>
            </w:r>
          </w:p>
          <w:p w14:paraId="7AC24C2D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Deaktivierung von nicht gewünschten Gerätefunktionen</w:t>
            </w:r>
          </w:p>
          <w:p w14:paraId="0AF16545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Störende Anwendungen bzw. Benachrichtigungen sind zu Unterrichtszeiten deaktiviert.</w:t>
            </w:r>
          </w:p>
          <w:p w14:paraId="69C6B266" w14:textId="77777777" w:rsidR="00F60DCB" w:rsidRPr="00666204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Einsatz technischer Lösungen zur Begleitung des (Medien-)Nutzungsverhaltens</w:t>
            </w:r>
          </w:p>
        </w:tc>
      </w:tr>
      <w:tr w:rsidR="00F60DCB" w:rsidRPr="00B4436E" w14:paraId="1E250C44" w14:textId="77777777" w:rsidTr="00BC6CA1">
        <w:tc>
          <w:tcPr>
            <w:tcW w:w="533" w:type="dxa"/>
          </w:tcPr>
          <w:p w14:paraId="3179F55A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2EC64494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Absprachen zum Einsatz digitaler Schulbücher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B4436E">
              <w:rPr>
                <w:rFonts w:ascii="Calibri" w:hAnsi="Calibri" w:cs="Calibri"/>
                <w:i/>
                <w:iCs/>
              </w:rPr>
              <w:t>und Anwendungen, die individuelle Zugänge benötigt.</w:t>
            </w:r>
          </w:p>
          <w:p w14:paraId="0741B52A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Es ist klar geregelt, für welche Fächer und welche Personengruppen digitale Schulbücher</w:t>
            </w:r>
            <w:r>
              <w:rPr>
                <w:rFonts w:ascii="Calibri" w:hAnsi="Calibri" w:cs="Calibri"/>
              </w:rPr>
              <w:t xml:space="preserve">/oben genannten Anwendungen </w:t>
            </w:r>
            <w:r w:rsidRPr="00B4436E">
              <w:rPr>
                <w:rFonts w:ascii="Calibri" w:hAnsi="Calibri" w:cs="Calibri"/>
              </w:rPr>
              <w:t>zur Verfügung gestellt werden.</w:t>
            </w:r>
          </w:p>
          <w:p w14:paraId="7ECFC619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Die Verwendung von digitalen Schulbüchern</w:t>
            </w:r>
            <w:r>
              <w:rPr>
                <w:rFonts w:ascii="Calibri" w:hAnsi="Calibri" w:cs="Calibri"/>
              </w:rPr>
              <w:t xml:space="preserve">/ oben genannten Anwendungen </w:t>
            </w:r>
            <w:r w:rsidRPr="00B4436E">
              <w:rPr>
                <w:rFonts w:ascii="Calibri" w:hAnsi="Calibri" w:cs="Calibri"/>
              </w:rPr>
              <w:t>wird zentral organisiert.</w:t>
            </w:r>
          </w:p>
          <w:p w14:paraId="03EFB5FB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B4436E">
              <w:rPr>
                <w:rFonts w:ascii="Calibri" w:hAnsi="Calibri" w:cs="Calibri"/>
              </w:rPr>
              <w:t>Der Umgang mit den digitalen Schulbüchern</w:t>
            </w:r>
            <w:r>
              <w:rPr>
                <w:rFonts w:ascii="Calibri" w:hAnsi="Calibri" w:cs="Calibri"/>
              </w:rPr>
              <w:t>/Anwendungen</w:t>
            </w:r>
            <w:r w:rsidRPr="00B4436E">
              <w:rPr>
                <w:rFonts w:ascii="Calibri" w:hAnsi="Calibri" w:cs="Calibri"/>
              </w:rPr>
              <w:t xml:space="preserve"> ist allen bekannt.</w:t>
            </w:r>
          </w:p>
        </w:tc>
      </w:tr>
      <w:tr w:rsidR="00F60DCB" w:rsidRPr="002234F4" w14:paraId="0BC09947" w14:textId="77777777" w:rsidTr="00BC6CA1">
        <w:tc>
          <w:tcPr>
            <w:tcW w:w="533" w:type="dxa"/>
          </w:tcPr>
          <w:p w14:paraId="0E545B62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55426770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ein Konzept zum Umgang mit Passwörtern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F870D4D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existiert ein Konzept zur Passwortverwaltung, z.B. über einen Passwortmanager oder eine analoge Lösung.</w:t>
            </w:r>
          </w:p>
          <w:p w14:paraId="2B16261B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bei vergessenen Passwörtern sind bekannt, und der Kommunikationsweg ist klar geregelt.</w:t>
            </w:r>
          </w:p>
        </w:tc>
      </w:tr>
      <w:tr w:rsidR="00F60DCB" w:rsidRPr="002234F4" w14:paraId="3963AB5B" w14:textId="77777777" w:rsidTr="00BC6CA1">
        <w:trPr>
          <w:trHeight w:val="2598"/>
        </w:trPr>
        <w:tc>
          <w:tcPr>
            <w:tcW w:w="533" w:type="dxa"/>
          </w:tcPr>
          <w:p w14:paraId="76C4E67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ACB8EB1" w14:textId="77777777" w:rsidR="00F60DCB" w:rsidRPr="003401D4" w:rsidRDefault="00F60DCB" w:rsidP="00BC6CA1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>Für die Leihgeräte existiert ein funktionierendes organisatorisches und technisches Nutzungskonzept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6E2E268A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an der Schule eine funktionierendes Ausleihkonzept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B898147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De Geräte sind einsatzbereit.</w:t>
            </w:r>
          </w:p>
          <w:p w14:paraId="65317874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Konzepte zum Schutz personenbezogener Daten auf den Leihgeräten (technische oder pädagogische Maßnahmen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  <w:p w14:paraId="35E6D721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 xml:space="preserve">In dem Konzept sind Ansprechpartner und Ansprechwege bei auftretenden Problemen oder Änderungswünsche bei den Anwendungen klar kommuniziert. </w:t>
            </w:r>
          </w:p>
          <w:p w14:paraId="73D7D06C" w14:textId="77777777" w:rsidR="00F60DCB" w:rsidRPr="00F82BD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Das Konzept ist verschriftlich und allen zugänglich.</w:t>
            </w: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0B18221E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EE95218" w14:textId="77777777" w:rsidR="00DD0E9C" w:rsidRPr="00695F45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80D8298" w14:textId="77777777" w:rsidR="00695F45" w:rsidRPr="00802C28" w:rsidRDefault="00695F45" w:rsidP="00695F45">
      <w:pPr>
        <w:rPr>
          <w:rFonts w:ascii="Calibri" w:hAnsi="Calibri" w:cs="Calibri"/>
          <w:sz w:val="22"/>
          <w:szCs w:val="22"/>
        </w:rPr>
      </w:pPr>
    </w:p>
    <w:sectPr w:rsidR="00695F45" w:rsidRPr="00802C28" w:rsidSect="00934D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8638" w14:textId="77777777" w:rsidR="00D80D00" w:rsidRDefault="00D80D00" w:rsidP="00102EF9">
      <w:r>
        <w:separator/>
      </w:r>
    </w:p>
  </w:endnote>
  <w:endnote w:type="continuationSeparator" w:id="0">
    <w:p w14:paraId="627CA1F1" w14:textId="77777777" w:rsidR="00D80D00" w:rsidRDefault="00D80D00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BD89" w14:textId="77777777" w:rsidR="00D80D00" w:rsidRDefault="00D80D00" w:rsidP="00102EF9">
      <w:r>
        <w:separator/>
      </w:r>
    </w:p>
  </w:footnote>
  <w:footnote w:type="continuationSeparator" w:id="0">
    <w:p w14:paraId="4772DDC5" w14:textId="77777777" w:rsidR="00D80D00" w:rsidRDefault="00D80D00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EE7F" w14:textId="2C93C4A4" w:rsidR="004D627D" w:rsidRPr="00102EF9" w:rsidRDefault="004D627D" w:rsidP="004D627D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09597E9" wp14:editId="4700476C">
          <wp:simplePos x="0" y="0"/>
          <wp:positionH relativeFrom="column">
            <wp:posOffset>4698843</wp:posOffset>
          </wp:positionH>
          <wp:positionV relativeFrom="paragraph">
            <wp:posOffset>3810</wp:posOffset>
          </wp:positionV>
          <wp:extent cx="1443600" cy="313200"/>
          <wp:effectExtent l="0" t="0" r="4445" b="4445"/>
          <wp:wrapTight wrapText="bothSides">
            <wp:wrapPolygon edited="0">
              <wp:start x="0" y="0"/>
              <wp:lineTo x="0" y="21030"/>
              <wp:lineTo x="21476" y="21030"/>
              <wp:lineTo x="21476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2D">
      <w:rPr>
        <w:rFonts w:ascii="Calibri" w:hAnsi="Calibri" w:cs="Calibri"/>
        <w:sz w:val="22"/>
        <w:szCs w:val="22"/>
      </w:rPr>
      <w:t xml:space="preserve">Erhebung- verlässliche pädagogische und technische Rahmenbedingungen </w:t>
    </w:r>
  </w:p>
  <w:p w14:paraId="4C8B02CA" w14:textId="4ED6769C" w:rsidR="00102EF9" w:rsidRPr="00102EF9" w:rsidRDefault="00102EF9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17758"/>
    <w:multiLevelType w:val="hybridMultilevel"/>
    <w:tmpl w:val="905EC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1"/>
  </w:num>
  <w:num w:numId="2" w16cid:durableId="289433082">
    <w:abstractNumId w:val="12"/>
  </w:num>
  <w:num w:numId="3" w16cid:durableId="1397823197">
    <w:abstractNumId w:val="8"/>
  </w:num>
  <w:num w:numId="4" w16cid:durableId="128131254">
    <w:abstractNumId w:val="4"/>
  </w:num>
  <w:num w:numId="5" w16cid:durableId="9649330">
    <w:abstractNumId w:val="5"/>
  </w:num>
  <w:num w:numId="6" w16cid:durableId="1311179798">
    <w:abstractNumId w:val="6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10"/>
  </w:num>
  <w:num w:numId="10" w16cid:durableId="1000156561">
    <w:abstractNumId w:val="9"/>
  </w:num>
  <w:num w:numId="11" w16cid:durableId="207571053">
    <w:abstractNumId w:val="7"/>
  </w:num>
  <w:num w:numId="12" w16cid:durableId="613441597">
    <w:abstractNumId w:val="2"/>
  </w:num>
  <w:num w:numId="13" w16cid:durableId="1083573213">
    <w:abstractNumId w:val="13"/>
  </w:num>
  <w:num w:numId="14" w16cid:durableId="637489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20FB2"/>
    <w:rsid w:val="000A2CA4"/>
    <w:rsid w:val="001026BE"/>
    <w:rsid w:val="00102EF9"/>
    <w:rsid w:val="00104978"/>
    <w:rsid w:val="00131970"/>
    <w:rsid w:val="00136DEA"/>
    <w:rsid w:val="00154140"/>
    <w:rsid w:val="00182C6E"/>
    <w:rsid w:val="001C07AC"/>
    <w:rsid w:val="001D2D84"/>
    <w:rsid w:val="0021764B"/>
    <w:rsid w:val="0022306F"/>
    <w:rsid w:val="002419A8"/>
    <w:rsid w:val="0026278F"/>
    <w:rsid w:val="0026561B"/>
    <w:rsid w:val="002F5BD9"/>
    <w:rsid w:val="003401D4"/>
    <w:rsid w:val="0034674B"/>
    <w:rsid w:val="003A0F47"/>
    <w:rsid w:val="003D2FA8"/>
    <w:rsid w:val="003E1D2E"/>
    <w:rsid w:val="003E2555"/>
    <w:rsid w:val="00427D78"/>
    <w:rsid w:val="00437735"/>
    <w:rsid w:val="00464D28"/>
    <w:rsid w:val="004D627D"/>
    <w:rsid w:val="004D7DAB"/>
    <w:rsid w:val="004E28C2"/>
    <w:rsid w:val="0050280C"/>
    <w:rsid w:val="00505A51"/>
    <w:rsid w:val="00536A8B"/>
    <w:rsid w:val="00544B94"/>
    <w:rsid w:val="005710C2"/>
    <w:rsid w:val="00580BCD"/>
    <w:rsid w:val="005A1E47"/>
    <w:rsid w:val="005D3CE4"/>
    <w:rsid w:val="00611C2E"/>
    <w:rsid w:val="0064368F"/>
    <w:rsid w:val="00666204"/>
    <w:rsid w:val="0067232D"/>
    <w:rsid w:val="00686BD0"/>
    <w:rsid w:val="00695F45"/>
    <w:rsid w:val="00696A0C"/>
    <w:rsid w:val="006A0993"/>
    <w:rsid w:val="006B4F06"/>
    <w:rsid w:val="006C71D1"/>
    <w:rsid w:val="006E2AE1"/>
    <w:rsid w:val="007352DD"/>
    <w:rsid w:val="00773ABA"/>
    <w:rsid w:val="007859B2"/>
    <w:rsid w:val="007C6B9E"/>
    <w:rsid w:val="007D272F"/>
    <w:rsid w:val="00826C76"/>
    <w:rsid w:val="00841534"/>
    <w:rsid w:val="00847350"/>
    <w:rsid w:val="00875C32"/>
    <w:rsid w:val="0087607D"/>
    <w:rsid w:val="00934D9C"/>
    <w:rsid w:val="00940B79"/>
    <w:rsid w:val="00986239"/>
    <w:rsid w:val="009B1BB9"/>
    <w:rsid w:val="009D595E"/>
    <w:rsid w:val="009E335E"/>
    <w:rsid w:val="009F4742"/>
    <w:rsid w:val="00A30AF6"/>
    <w:rsid w:val="00A56D9E"/>
    <w:rsid w:val="00A6010A"/>
    <w:rsid w:val="00A61E8B"/>
    <w:rsid w:val="00A71BA8"/>
    <w:rsid w:val="00A82DF6"/>
    <w:rsid w:val="00A90A6E"/>
    <w:rsid w:val="00A93D70"/>
    <w:rsid w:val="00A96734"/>
    <w:rsid w:val="00AD6400"/>
    <w:rsid w:val="00B15984"/>
    <w:rsid w:val="00B40D43"/>
    <w:rsid w:val="00B4436E"/>
    <w:rsid w:val="00B46F86"/>
    <w:rsid w:val="00B8427D"/>
    <w:rsid w:val="00B95FB5"/>
    <w:rsid w:val="00BB3008"/>
    <w:rsid w:val="00BD6D5D"/>
    <w:rsid w:val="00C406B4"/>
    <w:rsid w:val="00C551A2"/>
    <w:rsid w:val="00C87EC6"/>
    <w:rsid w:val="00CB6B9C"/>
    <w:rsid w:val="00CE2E4B"/>
    <w:rsid w:val="00D142AA"/>
    <w:rsid w:val="00D34503"/>
    <w:rsid w:val="00D435E1"/>
    <w:rsid w:val="00D61A9B"/>
    <w:rsid w:val="00D80D00"/>
    <w:rsid w:val="00D968FE"/>
    <w:rsid w:val="00DC4251"/>
    <w:rsid w:val="00DD0E9C"/>
    <w:rsid w:val="00E16C65"/>
    <w:rsid w:val="00E40403"/>
    <w:rsid w:val="00EA17F8"/>
    <w:rsid w:val="00F351A0"/>
    <w:rsid w:val="00F4223C"/>
    <w:rsid w:val="00F56F2C"/>
    <w:rsid w:val="00F60DCB"/>
    <w:rsid w:val="00F65BBB"/>
    <w:rsid w:val="00F70DBA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875C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C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C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C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1474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6</cp:revision>
  <cp:lastPrinted>2025-10-15T05:32:00Z</cp:lastPrinted>
  <dcterms:created xsi:type="dcterms:W3CDTF">2025-11-13T06:06:00Z</dcterms:created>
  <dcterms:modified xsi:type="dcterms:W3CDTF">2025-11-25T13:36:00Z</dcterms:modified>
</cp:coreProperties>
</file>