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2B9E" w14:textId="323A76A7" w:rsidR="003E1D2E" w:rsidRPr="00466359" w:rsidRDefault="00466359">
      <w:pPr>
        <w:rPr>
          <w:rFonts w:ascii="Calibri" w:hAnsi="Calibri" w:cs="Calibri"/>
          <w:i/>
          <w:iCs/>
          <w:color w:val="346FC0" w:themeColor="accent1"/>
          <w:sz w:val="36"/>
          <w:szCs w:val="36"/>
        </w:rPr>
      </w:pPr>
      <w:r>
        <w:rPr>
          <w:rFonts w:ascii="Calibri" w:hAnsi="Calibri" w:cs="Calibri"/>
          <w:i/>
          <w:iCs/>
          <w:color w:val="346FC0" w:themeColor="accent1"/>
          <w:sz w:val="36"/>
          <w:szCs w:val="36"/>
        </w:rPr>
        <w:t>Lernwirksamer</w:t>
      </w:r>
      <w:r w:rsidRPr="00466359">
        <w:rPr>
          <w:rFonts w:ascii="Calibri" w:hAnsi="Calibri" w:cs="Calibri"/>
          <w:i/>
          <w:iCs/>
          <w:color w:val="346FC0" w:themeColor="accent1"/>
          <w:sz w:val="36"/>
          <w:szCs w:val="36"/>
        </w:rPr>
        <w:t xml:space="preserve"> Fachunterricht </w:t>
      </w:r>
    </w:p>
    <w:p w14:paraId="2792CD42" w14:textId="77777777" w:rsidR="00466359" w:rsidRPr="00466359" w:rsidRDefault="00466359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99"/>
        <w:gridCol w:w="32"/>
        <w:gridCol w:w="4531"/>
      </w:tblGrid>
      <w:tr w:rsidR="00466359" w:rsidRPr="00466359" w14:paraId="3748A969" w14:textId="77777777" w:rsidTr="00466359">
        <w:tc>
          <w:tcPr>
            <w:tcW w:w="9062" w:type="dxa"/>
            <w:gridSpan w:val="3"/>
            <w:shd w:val="clear" w:color="auto" w:fill="D8EBED" w:themeFill="accent3" w:themeFillTint="33"/>
          </w:tcPr>
          <w:p w14:paraId="16C8FAC2" w14:textId="627A6C18" w:rsidR="00466359" w:rsidRPr="00466359" w:rsidRDefault="00466359" w:rsidP="000D696C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4999A0" w:themeColor="accent3"/>
                <w:sz w:val="22"/>
                <w:szCs w:val="22"/>
              </w:rPr>
            </w:pPr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2"/>
                <w:szCs w:val="22"/>
              </w:rPr>
              <w:t>Methodenvielfalt zur angemessenen Variation der Lehr- und Lernmethode</w:t>
            </w:r>
          </w:p>
        </w:tc>
      </w:tr>
      <w:tr w:rsidR="00466359" w:rsidRPr="00466359" w14:paraId="0F8FC28D" w14:textId="77777777" w:rsidTr="00466359">
        <w:tc>
          <w:tcPr>
            <w:tcW w:w="4531" w:type="dxa"/>
            <w:gridSpan w:val="2"/>
          </w:tcPr>
          <w:p w14:paraId="1D81FCE7" w14:textId="50528E6B" w:rsidR="00466359" w:rsidRPr="00466359" w:rsidRDefault="00466359" w:rsidP="000D696C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  <w:t>Angemessene Variation der Lehr- und Lernmethode</w:t>
            </w:r>
          </w:p>
        </w:tc>
        <w:tc>
          <w:tcPr>
            <w:tcW w:w="4531" w:type="dxa"/>
          </w:tcPr>
          <w:p w14:paraId="2095028E" w14:textId="7A9E1469" w:rsidR="00466359" w:rsidRPr="00466359" w:rsidRDefault="00466359" w:rsidP="000D696C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466359" w:rsidRPr="00466359" w14:paraId="1A4B387F" w14:textId="77777777" w:rsidTr="00466359">
        <w:tc>
          <w:tcPr>
            <w:tcW w:w="4531" w:type="dxa"/>
            <w:gridSpan w:val="2"/>
          </w:tcPr>
          <w:p w14:paraId="4AB3ABC7" w14:textId="77777777" w:rsidR="00466359" w:rsidRPr="00466359" w:rsidRDefault="00466359" w:rsidP="00466359">
            <w:pPr>
              <w:spacing w:line="360" w:lineRule="auto"/>
              <w:rPr>
                <w:rFonts w:ascii="Calibri" w:eastAsiaTheme="majorEastAsia" w:hAnsi="Calibri" w:cs="Calibri"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eastAsiaTheme="majorEastAsia" w:hAnsi="Calibri" w:cs="Calibri"/>
                <w:color w:val="404040" w:themeColor="text1" w:themeTint="BF"/>
                <w:sz w:val="22"/>
                <w:szCs w:val="22"/>
              </w:rPr>
              <w:t>Verschränkung analoger und digitaler</w:t>
            </w:r>
          </w:p>
          <w:p w14:paraId="7789C826" w14:textId="69D1C463" w:rsidR="00466359" w:rsidRPr="00466359" w:rsidRDefault="00466359" w:rsidP="00466359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eastAsiaTheme="majorEastAsia" w:hAnsi="Calibri" w:cs="Calibri"/>
                <w:color w:val="404040" w:themeColor="text1" w:themeTint="BF"/>
                <w:sz w:val="22"/>
                <w:szCs w:val="22"/>
              </w:rPr>
              <w:t>Lernsettings</w:t>
            </w:r>
          </w:p>
        </w:tc>
        <w:tc>
          <w:tcPr>
            <w:tcW w:w="4531" w:type="dxa"/>
          </w:tcPr>
          <w:p w14:paraId="676EA20A" w14:textId="7F86F59F" w:rsidR="00466359" w:rsidRPr="00466359" w:rsidRDefault="00466359" w:rsidP="000D696C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466359" w:rsidRPr="00466359" w14:paraId="38B0A9D7" w14:textId="77777777" w:rsidTr="00466359">
        <w:tc>
          <w:tcPr>
            <w:tcW w:w="9062" w:type="dxa"/>
            <w:gridSpan w:val="3"/>
            <w:shd w:val="clear" w:color="auto" w:fill="D5E1F3" w:themeFill="accent1" w:themeFillTint="33"/>
          </w:tcPr>
          <w:p w14:paraId="0CDA95C7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2"/>
                <w:szCs w:val="22"/>
              </w:rPr>
              <w:t xml:space="preserve">Veranschaulichung zur Nachvollziehbarkeit des Lernangebotes </w:t>
            </w:r>
          </w:p>
        </w:tc>
      </w:tr>
      <w:tr w:rsidR="00466359" w:rsidRPr="00466359" w14:paraId="2B823DC3" w14:textId="77777777" w:rsidTr="000D696C">
        <w:tc>
          <w:tcPr>
            <w:tcW w:w="4499" w:type="dxa"/>
          </w:tcPr>
          <w:p w14:paraId="6C707FEF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  <w:t>Strukturierung der Lehr- und Lerninhalte</w:t>
            </w:r>
          </w:p>
        </w:tc>
        <w:tc>
          <w:tcPr>
            <w:tcW w:w="4563" w:type="dxa"/>
            <w:gridSpan w:val="2"/>
          </w:tcPr>
          <w:p w14:paraId="32E8E411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</w:tr>
      <w:tr w:rsidR="00466359" w:rsidRPr="00466359" w14:paraId="133F27D2" w14:textId="77777777" w:rsidTr="000D696C">
        <w:tc>
          <w:tcPr>
            <w:tcW w:w="4499" w:type="dxa"/>
          </w:tcPr>
          <w:p w14:paraId="3E8836A9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  <w:t>Anschauliche Darstellung von Unterrichtsinhalten</w:t>
            </w:r>
          </w:p>
        </w:tc>
        <w:tc>
          <w:tcPr>
            <w:tcW w:w="4563" w:type="dxa"/>
            <w:gridSpan w:val="2"/>
          </w:tcPr>
          <w:p w14:paraId="0AA5BC8D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</w:tr>
      <w:tr w:rsidR="00466359" w:rsidRPr="00466359" w14:paraId="18CF7A5D" w14:textId="77777777" w:rsidTr="000D696C">
        <w:tc>
          <w:tcPr>
            <w:tcW w:w="4499" w:type="dxa"/>
          </w:tcPr>
          <w:p w14:paraId="78E75869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  <w:t>Ergebnissicherung</w:t>
            </w:r>
          </w:p>
        </w:tc>
        <w:tc>
          <w:tcPr>
            <w:tcW w:w="4563" w:type="dxa"/>
            <w:gridSpan w:val="2"/>
          </w:tcPr>
          <w:p w14:paraId="5E37AC07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</w:tr>
      <w:tr w:rsidR="00466359" w:rsidRPr="00466359" w14:paraId="156D82D6" w14:textId="77777777" w:rsidTr="00466359">
        <w:tc>
          <w:tcPr>
            <w:tcW w:w="9062" w:type="dxa"/>
            <w:gridSpan w:val="3"/>
            <w:shd w:val="clear" w:color="auto" w:fill="DAEAF6" w:themeFill="accent2" w:themeFillTint="33"/>
          </w:tcPr>
          <w:p w14:paraId="6A95F1E3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2"/>
                <w:szCs w:val="22"/>
              </w:rPr>
              <w:t xml:space="preserve">Lebensweltbezug zur </w:t>
            </w:r>
            <w:proofErr w:type="spellStart"/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2"/>
                <w:szCs w:val="22"/>
              </w:rPr>
              <w:t>Schülerorientierung</w:t>
            </w:r>
            <w:proofErr w:type="spellEnd"/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2"/>
                <w:szCs w:val="22"/>
              </w:rPr>
              <w:t xml:space="preserve"> </w:t>
            </w:r>
          </w:p>
        </w:tc>
      </w:tr>
      <w:tr w:rsidR="00466359" w:rsidRPr="00466359" w14:paraId="6209A3CA" w14:textId="77777777" w:rsidTr="000D696C">
        <w:tc>
          <w:tcPr>
            <w:tcW w:w="4499" w:type="dxa"/>
          </w:tcPr>
          <w:p w14:paraId="2540F867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  <w:t>Alltags- und Anwendungsbezug</w:t>
            </w:r>
          </w:p>
        </w:tc>
        <w:tc>
          <w:tcPr>
            <w:tcW w:w="4563" w:type="dxa"/>
            <w:gridSpan w:val="2"/>
          </w:tcPr>
          <w:p w14:paraId="488644C9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</w:tr>
      <w:tr w:rsidR="00466359" w:rsidRPr="00466359" w14:paraId="09AB935E" w14:textId="77777777" w:rsidTr="000D696C">
        <w:tc>
          <w:tcPr>
            <w:tcW w:w="4499" w:type="dxa"/>
          </w:tcPr>
          <w:p w14:paraId="26DD753E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  <w:t>Aufgreifen des Mediennutzungsverhaltens</w:t>
            </w:r>
          </w:p>
        </w:tc>
        <w:tc>
          <w:tcPr>
            <w:tcW w:w="4563" w:type="dxa"/>
            <w:gridSpan w:val="2"/>
          </w:tcPr>
          <w:p w14:paraId="18E7A4D7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</w:tr>
      <w:tr w:rsidR="00466359" w:rsidRPr="00466359" w14:paraId="5C74ECFF" w14:textId="77777777" w:rsidTr="00466359">
        <w:tc>
          <w:tcPr>
            <w:tcW w:w="9062" w:type="dxa"/>
            <w:gridSpan w:val="3"/>
            <w:shd w:val="clear" w:color="auto" w:fill="D8ECE3" w:themeFill="accent4" w:themeFillTint="33"/>
          </w:tcPr>
          <w:p w14:paraId="164126A9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2"/>
                <w:szCs w:val="22"/>
              </w:rPr>
              <w:t xml:space="preserve">Individualisiertes Lernen zur Berücksichtigung unterschiedlicher Lernvoraussetzungen </w:t>
            </w:r>
          </w:p>
        </w:tc>
      </w:tr>
      <w:tr w:rsidR="00466359" w:rsidRPr="00466359" w14:paraId="788D7D3E" w14:textId="77777777" w:rsidTr="000D696C">
        <w:tc>
          <w:tcPr>
            <w:tcW w:w="4499" w:type="dxa"/>
          </w:tcPr>
          <w:p w14:paraId="0CB4D70B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  <w:proofErr w:type="spellStart"/>
            <w:r w:rsidRPr="00466359"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  <w:t>Lernstandserfassung</w:t>
            </w:r>
            <w:proofErr w:type="spellEnd"/>
            <w:r w:rsidRPr="00466359"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  <w:t xml:space="preserve"> und Anpassung des Lernangebotes</w:t>
            </w:r>
          </w:p>
        </w:tc>
        <w:tc>
          <w:tcPr>
            <w:tcW w:w="4563" w:type="dxa"/>
            <w:gridSpan w:val="2"/>
          </w:tcPr>
          <w:p w14:paraId="10AA83C3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</w:tr>
      <w:tr w:rsidR="00466359" w:rsidRPr="00466359" w14:paraId="3C2893A1" w14:textId="77777777" w:rsidTr="000D696C">
        <w:tc>
          <w:tcPr>
            <w:tcW w:w="4499" w:type="dxa"/>
          </w:tcPr>
          <w:p w14:paraId="670AB692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  <w:t>Lernförderliches Feedback und Unterstützung</w:t>
            </w:r>
          </w:p>
        </w:tc>
        <w:tc>
          <w:tcPr>
            <w:tcW w:w="4563" w:type="dxa"/>
            <w:gridSpan w:val="2"/>
          </w:tcPr>
          <w:p w14:paraId="210AF368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</w:tr>
      <w:tr w:rsidR="00466359" w:rsidRPr="00466359" w14:paraId="467BB603" w14:textId="77777777" w:rsidTr="000D696C">
        <w:tc>
          <w:tcPr>
            <w:tcW w:w="4499" w:type="dxa"/>
          </w:tcPr>
          <w:p w14:paraId="7BB45FD3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  <w:t>Unterstützung des selbstgesteuerten Lernens</w:t>
            </w:r>
          </w:p>
        </w:tc>
        <w:tc>
          <w:tcPr>
            <w:tcW w:w="4563" w:type="dxa"/>
            <w:gridSpan w:val="2"/>
          </w:tcPr>
          <w:p w14:paraId="51CD27C6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</w:tr>
      <w:tr w:rsidR="00466359" w:rsidRPr="00466359" w14:paraId="61AFBCE5" w14:textId="77777777" w:rsidTr="00466359">
        <w:tc>
          <w:tcPr>
            <w:tcW w:w="9062" w:type="dxa"/>
            <w:gridSpan w:val="3"/>
            <w:shd w:val="clear" w:color="auto" w:fill="E1EED8" w:themeFill="accent5" w:themeFillTint="33"/>
          </w:tcPr>
          <w:p w14:paraId="13027E30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2"/>
                <w:szCs w:val="22"/>
              </w:rPr>
              <w:t xml:space="preserve">Kompetenzorientierten Aufgabenformaten und intelligentes </w:t>
            </w:r>
            <w:proofErr w:type="spellStart"/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2"/>
                <w:szCs w:val="22"/>
              </w:rPr>
              <w:t>Üben</w:t>
            </w:r>
            <w:proofErr w:type="spellEnd"/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2"/>
                <w:szCs w:val="22"/>
              </w:rPr>
              <w:t xml:space="preserve"> zum Nachhaltiges Lernen</w:t>
            </w:r>
          </w:p>
        </w:tc>
      </w:tr>
      <w:tr w:rsidR="00466359" w:rsidRPr="00466359" w14:paraId="6A8B92D5" w14:textId="77777777" w:rsidTr="000D696C">
        <w:tc>
          <w:tcPr>
            <w:tcW w:w="4499" w:type="dxa"/>
          </w:tcPr>
          <w:p w14:paraId="2DEE85A5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  <w:t>Medienproduktive und kollaborative Aufgabenformate</w:t>
            </w:r>
          </w:p>
        </w:tc>
        <w:tc>
          <w:tcPr>
            <w:tcW w:w="4563" w:type="dxa"/>
            <w:gridSpan w:val="2"/>
          </w:tcPr>
          <w:p w14:paraId="3289C65C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</w:tr>
      <w:tr w:rsidR="00466359" w:rsidRPr="00466359" w14:paraId="17DEFE2B" w14:textId="77777777" w:rsidTr="000D696C">
        <w:tc>
          <w:tcPr>
            <w:tcW w:w="4499" w:type="dxa"/>
          </w:tcPr>
          <w:p w14:paraId="078CE64D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  <w:t>Systematischer Erwerb von Medienkompetenz</w:t>
            </w:r>
          </w:p>
        </w:tc>
        <w:tc>
          <w:tcPr>
            <w:tcW w:w="4563" w:type="dxa"/>
            <w:gridSpan w:val="2"/>
          </w:tcPr>
          <w:p w14:paraId="436BC12F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</w:tr>
      <w:tr w:rsidR="00466359" w:rsidRPr="00466359" w14:paraId="6DFD6B08" w14:textId="77777777" w:rsidTr="000D696C">
        <w:tc>
          <w:tcPr>
            <w:tcW w:w="4499" w:type="dxa"/>
          </w:tcPr>
          <w:p w14:paraId="60C98625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  <w:t xml:space="preserve">Intelligentes Üben </w:t>
            </w:r>
          </w:p>
        </w:tc>
        <w:tc>
          <w:tcPr>
            <w:tcW w:w="4563" w:type="dxa"/>
            <w:gridSpan w:val="2"/>
          </w:tcPr>
          <w:p w14:paraId="2E2C2112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</w:tr>
      <w:tr w:rsidR="00466359" w:rsidRPr="00466359" w14:paraId="4F4B8164" w14:textId="77777777" w:rsidTr="00466359">
        <w:tc>
          <w:tcPr>
            <w:tcW w:w="9062" w:type="dxa"/>
            <w:gridSpan w:val="3"/>
            <w:shd w:val="clear" w:color="auto" w:fill="CFDEF0" w:themeFill="accent6" w:themeFillTint="33"/>
          </w:tcPr>
          <w:p w14:paraId="2DFFF44A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  <w:szCs w:val="22"/>
              </w:rPr>
            </w:pPr>
            <w:r w:rsidRPr="00466359">
              <w:rPr>
                <w:rFonts w:ascii="Calibri" w:hAnsi="Calibri" w:cs="Calibri"/>
                <w:b/>
                <w:bCs/>
                <w:color w:val="404040" w:themeColor="text1" w:themeTint="BF"/>
                <w:sz w:val="22"/>
                <w:szCs w:val="22"/>
              </w:rPr>
              <w:t>Zur Arbeitserleichterung</w:t>
            </w:r>
          </w:p>
        </w:tc>
      </w:tr>
      <w:tr w:rsidR="00466359" w:rsidRPr="00466359" w14:paraId="5C69D6E6" w14:textId="77777777" w:rsidTr="000D696C">
        <w:tc>
          <w:tcPr>
            <w:tcW w:w="4499" w:type="dxa"/>
          </w:tcPr>
          <w:p w14:paraId="1EAFB03F" w14:textId="77777777" w:rsidR="00466359" w:rsidRPr="00466359" w:rsidRDefault="00466359" w:rsidP="000D696C">
            <w:pPr>
              <w:pStyle w:val="Listenabsatz"/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4563" w:type="dxa"/>
            <w:gridSpan w:val="2"/>
          </w:tcPr>
          <w:p w14:paraId="55092F56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49C45AC2" w14:textId="77777777" w:rsidR="00466359" w:rsidRDefault="00466359">
      <w:pPr>
        <w:rPr>
          <w:rFonts w:ascii="Calibri" w:hAnsi="Calibri" w:cs="Calibri"/>
        </w:rPr>
      </w:pPr>
    </w:p>
    <w:p w14:paraId="3FA15DA8" w14:textId="77777777" w:rsidR="00466359" w:rsidRDefault="00466359">
      <w:pPr>
        <w:rPr>
          <w:rFonts w:ascii="Calibri" w:hAnsi="Calibri" w:cs="Calibri"/>
        </w:rPr>
      </w:pPr>
    </w:p>
    <w:p w14:paraId="167438BD" w14:textId="77777777" w:rsidR="00466359" w:rsidRDefault="00466359">
      <w:pPr>
        <w:rPr>
          <w:rFonts w:ascii="Calibri" w:hAnsi="Calibri" w:cs="Calibri"/>
        </w:rPr>
      </w:pPr>
    </w:p>
    <w:p w14:paraId="496094C3" w14:textId="77777777" w:rsidR="00466359" w:rsidRDefault="00466359">
      <w:pPr>
        <w:rPr>
          <w:rFonts w:ascii="Calibri" w:hAnsi="Calibri" w:cs="Calibri"/>
        </w:rPr>
      </w:pPr>
    </w:p>
    <w:p w14:paraId="0E89DF02" w14:textId="77777777" w:rsidR="00466359" w:rsidRDefault="00466359">
      <w:pPr>
        <w:rPr>
          <w:rFonts w:ascii="Calibri" w:hAnsi="Calibri" w:cs="Calibri"/>
        </w:rPr>
      </w:pPr>
    </w:p>
    <w:p w14:paraId="7057C314" w14:textId="77777777" w:rsidR="00466359" w:rsidRDefault="00466359">
      <w:pPr>
        <w:rPr>
          <w:rFonts w:ascii="Calibri" w:hAnsi="Calibri" w:cs="Calibri"/>
        </w:rPr>
      </w:pPr>
    </w:p>
    <w:p w14:paraId="4BF5535C" w14:textId="77777777" w:rsidR="00466359" w:rsidRDefault="00466359">
      <w:pPr>
        <w:rPr>
          <w:rFonts w:ascii="Calibri" w:hAnsi="Calibri" w:cs="Calibri"/>
        </w:rPr>
      </w:pPr>
    </w:p>
    <w:p w14:paraId="15E40923" w14:textId="77777777" w:rsidR="00466359" w:rsidRDefault="00466359">
      <w:pPr>
        <w:rPr>
          <w:rFonts w:ascii="Calibri" w:hAnsi="Calibri" w:cs="Calibri"/>
        </w:rPr>
      </w:pPr>
    </w:p>
    <w:p w14:paraId="5D829578" w14:textId="77777777" w:rsidR="00466359" w:rsidRDefault="00466359">
      <w:pPr>
        <w:rPr>
          <w:rFonts w:ascii="Calibri" w:hAnsi="Calibri" w:cs="Calibri"/>
        </w:rPr>
      </w:pPr>
    </w:p>
    <w:p w14:paraId="0A7EEF15" w14:textId="77777777" w:rsidR="00466359" w:rsidRDefault="00466359">
      <w:pPr>
        <w:rPr>
          <w:rFonts w:ascii="Calibri" w:hAnsi="Calibri" w:cs="Calibri"/>
        </w:rPr>
      </w:pPr>
    </w:p>
    <w:p w14:paraId="0F0E5A85" w14:textId="77777777" w:rsidR="00466359" w:rsidRDefault="00466359">
      <w:pPr>
        <w:rPr>
          <w:rFonts w:ascii="Calibri" w:hAnsi="Calibri" w:cs="Calibri"/>
        </w:rPr>
      </w:pPr>
    </w:p>
    <w:p w14:paraId="5DC22E81" w14:textId="77777777" w:rsidR="00466359" w:rsidRDefault="00466359">
      <w:pPr>
        <w:rPr>
          <w:rFonts w:ascii="Calibri" w:hAnsi="Calibri" w:cs="Calibri"/>
        </w:rPr>
      </w:pPr>
    </w:p>
    <w:p w14:paraId="0A3506C1" w14:textId="77777777" w:rsidR="00466359" w:rsidRDefault="00466359">
      <w:pPr>
        <w:rPr>
          <w:rFonts w:ascii="Calibri" w:hAnsi="Calibri" w:cs="Calibri"/>
        </w:rPr>
      </w:pPr>
    </w:p>
    <w:p w14:paraId="48BB393C" w14:textId="6E116A4B" w:rsidR="00466359" w:rsidRPr="00466359" w:rsidRDefault="00466359">
      <w:pPr>
        <w:rPr>
          <w:rFonts w:ascii="Calibri" w:hAnsi="Calibri" w:cs="Calibri"/>
          <w:i/>
          <w:iCs/>
          <w:color w:val="346FC0" w:themeColor="accent1"/>
          <w:sz w:val="36"/>
          <w:szCs w:val="36"/>
        </w:rPr>
      </w:pPr>
      <w:r w:rsidRPr="00466359">
        <w:rPr>
          <w:rFonts w:ascii="Calibri" w:hAnsi="Calibri" w:cs="Calibri"/>
          <w:i/>
          <w:iCs/>
          <w:color w:val="346FC0" w:themeColor="accent1"/>
          <w:sz w:val="36"/>
          <w:szCs w:val="36"/>
        </w:rPr>
        <w:t xml:space="preserve">Beispiel: </w:t>
      </w:r>
      <w:r>
        <w:rPr>
          <w:rFonts w:ascii="Calibri" w:hAnsi="Calibri" w:cs="Calibri"/>
          <w:i/>
          <w:iCs/>
          <w:color w:val="346FC0" w:themeColor="accent1"/>
          <w:sz w:val="36"/>
          <w:szCs w:val="36"/>
        </w:rPr>
        <w:t>Bild vom</w:t>
      </w:r>
      <w:r w:rsidRPr="00466359">
        <w:rPr>
          <w:rFonts w:ascii="Calibri" w:hAnsi="Calibri" w:cs="Calibri"/>
          <w:i/>
          <w:iCs/>
          <w:color w:val="346FC0" w:themeColor="accent1"/>
          <w:sz w:val="36"/>
          <w:szCs w:val="36"/>
        </w:rPr>
        <w:t xml:space="preserve"> Mathematikunterricht</w:t>
      </w:r>
    </w:p>
    <w:p w14:paraId="7534FCEA" w14:textId="77777777" w:rsidR="00466359" w:rsidRPr="00466359" w:rsidRDefault="00466359">
      <w:pPr>
        <w:rPr>
          <w:rFonts w:ascii="Calibri" w:hAnsi="Calibri" w:cs="Calibri"/>
          <w:i/>
          <w:iCs/>
          <w:color w:val="346FC0" w:themeColor="accent1"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99"/>
        <w:gridCol w:w="32"/>
        <w:gridCol w:w="4531"/>
      </w:tblGrid>
      <w:tr w:rsidR="00466359" w:rsidRPr="00466359" w14:paraId="53DA89BA" w14:textId="77777777" w:rsidTr="00466359">
        <w:tc>
          <w:tcPr>
            <w:tcW w:w="9062" w:type="dxa"/>
            <w:gridSpan w:val="3"/>
            <w:shd w:val="clear" w:color="auto" w:fill="D8EBED" w:themeFill="accent3" w:themeFillTint="33"/>
          </w:tcPr>
          <w:p w14:paraId="255548E7" w14:textId="77777777" w:rsidR="00466359" w:rsidRPr="00466359" w:rsidRDefault="00466359" w:rsidP="000D696C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1"/>
                <w:szCs w:val="21"/>
              </w:rPr>
            </w:pPr>
            <w:r w:rsidRPr="00073CB5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1"/>
                <w:szCs w:val="21"/>
              </w:rPr>
              <w:t>Methodenvielfalt zur angemessenen Variation der Lehr- und Lernmethode</w:t>
            </w:r>
          </w:p>
        </w:tc>
      </w:tr>
      <w:tr w:rsidR="00466359" w:rsidRPr="00466359" w14:paraId="41EF158A" w14:textId="77777777" w:rsidTr="000D696C">
        <w:trPr>
          <w:trHeight w:val="1102"/>
        </w:trPr>
        <w:tc>
          <w:tcPr>
            <w:tcW w:w="4531" w:type="dxa"/>
            <w:gridSpan w:val="2"/>
            <w:shd w:val="clear" w:color="auto" w:fill="FFFFFF" w:themeFill="background1"/>
          </w:tcPr>
          <w:p w14:paraId="01E28D2D" w14:textId="77777777" w:rsidR="00466359" w:rsidRPr="00466359" w:rsidRDefault="00466359" w:rsidP="000D696C">
            <w:pPr>
              <w:spacing w:line="360" w:lineRule="auto"/>
              <w:rPr>
                <w:rFonts w:ascii="Calibri" w:eastAsiaTheme="majorEastAsia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eastAsiaTheme="majorEastAsia" w:hAnsi="Calibri" w:cs="Calibri"/>
                <w:color w:val="404040" w:themeColor="text1" w:themeTint="BF"/>
                <w:sz w:val="21"/>
                <w:szCs w:val="21"/>
              </w:rPr>
              <w:t>Angemessene Variation der Lehr- und Lernmethode</w:t>
            </w:r>
          </w:p>
        </w:tc>
        <w:tc>
          <w:tcPr>
            <w:tcW w:w="4531" w:type="dxa"/>
            <w:vMerge w:val="restart"/>
            <w:shd w:val="clear" w:color="auto" w:fill="FFFFFF" w:themeFill="background1"/>
          </w:tcPr>
          <w:p w14:paraId="6B4E9A56" w14:textId="77777777" w:rsidR="00466359" w:rsidRPr="00073CB5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Fokus auf </w:t>
            </w:r>
            <w:r w:rsidRPr="00466359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aktive und </w:t>
            </w: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vertiefte Beschäftigung mit Inhalten in Einzel- oder Gruppenphasen durch digitale Werkzeuge.</w:t>
            </w:r>
          </w:p>
          <w:p w14:paraId="4183CEC7" w14:textId="77777777" w:rsidR="00466359" w:rsidRPr="00466359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Gezielte Verschmelzung von analogen (Haptik, Heftführung) und digitalen Arbeitsformen.</w:t>
            </w:r>
          </w:p>
          <w:p w14:paraId="78A08A85" w14:textId="77777777" w:rsidR="00466359" w:rsidRPr="00466359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Einsatz digitaler Werkzeige für mathematische Kernkompetenzen: Erkunden &amp; Entdecken, systematischer Wechsel zwischen Darstellungsformen, Argumentieren und Beweisen, …</w:t>
            </w:r>
          </w:p>
        </w:tc>
      </w:tr>
      <w:tr w:rsidR="00466359" w:rsidRPr="00466359" w14:paraId="2B5EAC01" w14:textId="77777777" w:rsidTr="000D696C">
        <w:trPr>
          <w:trHeight w:val="1102"/>
        </w:trPr>
        <w:tc>
          <w:tcPr>
            <w:tcW w:w="4531" w:type="dxa"/>
            <w:gridSpan w:val="2"/>
            <w:shd w:val="clear" w:color="auto" w:fill="FFFFFF" w:themeFill="background1"/>
          </w:tcPr>
          <w:p w14:paraId="0C1A2754" w14:textId="77777777" w:rsidR="00466359" w:rsidRPr="00466359" w:rsidRDefault="00466359" w:rsidP="000D696C">
            <w:pPr>
              <w:spacing w:line="360" w:lineRule="auto"/>
              <w:rPr>
                <w:rFonts w:ascii="Calibri" w:eastAsiaTheme="majorEastAsia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eastAsiaTheme="majorEastAsia" w:hAnsi="Calibri" w:cs="Calibri"/>
                <w:color w:val="404040" w:themeColor="text1" w:themeTint="BF"/>
                <w:sz w:val="21"/>
                <w:szCs w:val="21"/>
              </w:rPr>
              <w:t>Verschränkung analoger und digitaler</w:t>
            </w:r>
          </w:p>
          <w:p w14:paraId="62636CF9" w14:textId="77777777" w:rsidR="00466359" w:rsidRPr="00466359" w:rsidRDefault="00466359" w:rsidP="000D696C">
            <w:pPr>
              <w:spacing w:line="360" w:lineRule="auto"/>
              <w:rPr>
                <w:rFonts w:ascii="Calibri" w:eastAsiaTheme="majorEastAsia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eastAsiaTheme="majorEastAsia" w:hAnsi="Calibri" w:cs="Calibri"/>
                <w:color w:val="404040" w:themeColor="text1" w:themeTint="BF"/>
                <w:sz w:val="21"/>
                <w:szCs w:val="21"/>
              </w:rPr>
              <w:t>Lernsettings</w:t>
            </w:r>
          </w:p>
        </w:tc>
        <w:tc>
          <w:tcPr>
            <w:tcW w:w="4531" w:type="dxa"/>
            <w:vMerge/>
            <w:shd w:val="clear" w:color="auto" w:fill="FFFFFF" w:themeFill="background1"/>
          </w:tcPr>
          <w:p w14:paraId="1B5873C9" w14:textId="77777777" w:rsidR="00466359" w:rsidRPr="00466359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</w:p>
        </w:tc>
      </w:tr>
      <w:tr w:rsidR="00466359" w:rsidRPr="00466359" w14:paraId="211EFF96" w14:textId="77777777" w:rsidTr="00466359">
        <w:tc>
          <w:tcPr>
            <w:tcW w:w="9062" w:type="dxa"/>
            <w:gridSpan w:val="3"/>
            <w:shd w:val="clear" w:color="auto" w:fill="DAEAF6" w:themeFill="accent2" w:themeFillTint="33"/>
          </w:tcPr>
          <w:p w14:paraId="69F96EDD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1"/>
                <w:szCs w:val="21"/>
              </w:rPr>
              <w:t xml:space="preserve">Veranschaulichung zur Nachvollziehbarkeit des Lernangebotes </w:t>
            </w:r>
          </w:p>
        </w:tc>
      </w:tr>
      <w:tr w:rsidR="00466359" w:rsidRPr="00466359" w14:paraId="1CB0CDD5" w14:textId="77777777" w:rsidTr="000D696C">
        <w:tc>
          <w:tcPr>
            <w:tcW w:w="4499" w:type="dxa"/>
          </w:tcPr>
          <w:p w14:paraId="3D3FD52A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  <w:t>Strukturierung der Lehr- und Lerninhalte</w:t>
            </w:r>
          </w:p>
        </w:tc>
        <w:tc>
          <w:tcPr>
            <w:tcW w:w="4563" w:type="dxa"/>
            <w:gridSpan w:val="2"/>
            <w:vMerge w:val="restart"/>
          </w:tcPr>
          <w:p w14:paraId="54E18486" w14:textId="77777777" w:rsidR="00466359" w:rsidRPr="00466359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Nutzung von Erklärvideos sowie Simulationen/Animationen zur Visualisierung komplexer mathematischer Zusammenhänge.</w:t>
            </w:r>
          </w:p>
          <w:p w14:paraId="6AA5E178" w14:textId="77777777" w:rsidR="00466359" w:rsidRPr="00466359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Zeit- und ortsunabhängige Bereitstellung aller Ressourcen (Überblick über Lerninhalte, situatives Nachschlagen, häusliche Lernbegleitung).</w:t>
            </w:r>
          </w:p>
          <w:p w14:paraId="78C79BCC" w14:textId="77777777" w:rsidR="00466359" w:rsidRPr="00466359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Potentiale digitaler Heftführung oder gemeinsamen Tafelbildern zur langfristigen und anschaulichen Dokumentation nutzen.</w:t>
            </w:r>
          </w:p>
        </w:tc>
      </w:tr>
      <w:tr w:rsidR="00466359" w:rsidRPr="00466359" w14:paraId="1F5D1756" w14:textId="77777777" w:rsidTr="000D696C">
        <w:tc>
          <w:tcPr>
            <w:tcW w:w="4499" w:type="dxa"/>
          </w:tcPr>
          <w:p w14:paraId="45D52D6F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  <w:t>Anschauliche Darstellung von Unterrichtsinhalten</w:t>
            </w:r>
          </w:p>
        </w:tc>
        <w:tc>
          <w:tcPr>
            <w:tcW w:w="4563" w:type="dxa"/>
            <w:gridSpan w:val="2"/>
            <w:vMerge/>
          </w:tcPr>
          <w:p w14:paraId="1E3CD8FD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466359" w:rsidRPr="00466359" w14:paraId="460D23CE" w14:textId="77777777" w:rsidTr="000D696C">
        <w:tc>
          <w:tcPr>
            <w:tcW w:w="4499" w:type="dxa"/>
          </w:tcPr>
          <w:p w14:paraId="51550546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  <w:t>Ergebnissicherung</w:t>
            </w:r>
          </w:p>
        </w:tc>
        <w:tc>
          <w:tcPr>
            <w:tcW w:w="4563" w:type="dxa"/>
            <w:gridSpan w:val="2"/>
            <w:vMerge/>
          </w:tcPr>
          <w:p w14:paraId="45B82FC3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466359" w:rsidRPr="00466359" w14:paraId="48EA4139" w14:textId="77777777" w:rsidTr="00466359">
        <w:tc>
          <w:tcPr>
            <w:tcW w:w="9062" w:type="dxa"/>
            <w:gridSpan w:val="3"/>
            <w:shd w:val="clear" w:color="auto" w:fill="D8EBED" w:themeFill="accent3" w:themeFillTint="33"/>
          </w:tcPr>
          <w:p w14:paraId="0123791F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b/>
                <w:bCs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1"/>
                <w:szCs w:val="21"/>
              </w:rPr>
              <w:t xml:space="preserve">Lebensweltbezug zur </w:t>
            </w:r>
            <w:proofErr w:type="spellStart"/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1"/>
                <w:szCs w:val="21"/>
              </w:rPr>
              <w:t>Schülerorientierung</w:t>
            </w:r>
            <w:proofErr w:type="spellEnd"/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1"/>
                <w:szCs w:val="21"/>
              </w:rPr>
              <w:t xml:space="preserve"> </w:t>
            </w:r>
          </w:p>
        </w:tc>
      </w:tr>
      <w:tr w:rsidR="00466359" w:rsidRPr="00466359" w14:paraId="1932E2A5" w14:textId="77777777" w:rsidTr="000D696C">
        <w:tc>
          <w:tcPr>
            <w:tcW w:w="4499" w:type="dxa"/>
          </w:tcPr>
          <w:p w14:paraId="5DD512EE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  <w:t>Alltags- und Anwendungsbezug</w:t>
            </w:r>
          </w:p>
        </w:tc>
        <w:tc>
          <w:tcPr>
            <w:tcW w:w="4563" w:type="dxa"/>
            <w:gridSpan w:val="2"/>
            <w:vMerge w:val="restart"/>
          </w:tcPr>
          <w:p w14:paraId="524416FE" w14:textId="77777777" w:rsidR="00466359" w:rsidRPr="00466359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Analyse und kritische Hinterfragung von Diagrammen, Statistiken und Modellierungen aus aktuellen Medien (Zeitungen, Internet) fördern.</w:t>
            </w:r>
          </w:p>
        </w:tc>
      </w:tr>
      <w:tr w:rsidR="00466359" w:rsidRPr="00466359" w14:paraId="54A68D5D" w14:textId="77777777" w:rsidTr="000D696C">
        <w:tc>
          <w:tcPr>
            <w:tcW w:w="4499" w:type="dxa"/>
          </w:tcPr>
          <w:p w14:paraId="502D9BA6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  <w:t>Aufgreifen des Mediennutzungsverhaltens</w:t>
            </w:r>
          </w:p>
        </w:tc>
        <w:tc>
          <w:tcPr>
            <w:tcW w:w="4563" w:type="dxa"/>
            <w:gridSpan w:val="2"/>
            <w:vMerge/>
          </w:tcPr>
          <w:p w14:paraId="00B902A1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466359" w:rsidRPr="00466359" w14:paraId="0F7F1B26" w14:textId="77777777" w:rsidTr="00466359">
        <w:tc>
          <w:tcPr>
            <w:tcW w:w="9062" w:type="dxa"/>
            <w:gridSpan w:val="3"/>
            <w:shd w:val="clear" w:color="auto" w:fill="D8ECE3" w:themeFill="accent4" w:themeFillTint="33"/>
          </w:tcPr>
          <w:p w14:paraId="148A0F71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b/>
                <w:bCs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1"/>
                <w:szCs w:val="21"/>
              </w:rPr>
              <w:t xml:space="preserve">Individualisiertes Lernen zur Berücksichtigung unterschiedlicher Lernvoraussetzungen </w:t>
            </w:r>
          </w:p>
        </w:tc>
      </w:tr>
      <w:tr w:rsidR="00466359" w:rsidRPr="00466359" w14:paraId="42F11E17" w14:textId="77777777" w:rsidTr="000D696C">
        <w:tc>
          <w:tcPr>
            <w:tcW w:w="4499" w:type="dxa"/>
          </w:tcPr>
          <w:p w14:paraId="1A414405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  <w:proofErr w:type="spellStart"/>
            <w:r w:rsidRPr="00466359"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  <w:t>Lernstandserfassung</w:t>
            </w:r>
            <w:proofErr w:type="spellEnd"/>
            <w:r w:rsidRPr="00466359"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  <w:t xml:space="preserve"> und Anpassung des Lernangebotes</w:t>
            </w:r>
          </w:p>
        </w:tc>
        <w:tc>
          <w:tcPr>
            <w:tcW w:w="4563" w:type="dxa"/>
            <w:gridSpan w:val="2"/>
            <w:vMerge w:val="restart"/>
          </w:tcPr>
          <w:p w14:paraId="54DB24AB" w14:textId="77777777" w:rsidR="00466359" w:rsidRPr="00073CB5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Einsatz von Übungsformaten mit automatisierter Auswertung für transparente Lernfortschritte.</w:t>
            </w:r>
          </w:p>
          <w:p w14:paraId="761A9E71" w14:textId="77777777" w:rsidR="00466359" w:rsidRPr="00073CB5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Differenzierende Hilfsangebote (gestufte Lernhilfen, Lösungen zur Selbstkontrolle, Erklärvideos) als "</w:t>
            </w:r>
            <w:proofErr w:type="spellStart"/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Scaffolding</w:t>
            </w:r>
            <w:proofErr w:type="spellEnd"/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" während der Arbeitsphase.</w:t>
            </w:r>
          </w:p>
          <w:p w14:paraId="763D4B96" w14:textId="77777777" w:rsidR="00466359" w:rsidRPr="00073CB5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Digitale Einreichung von Arbeitsständen mit zeitnahen, vielfältigen Korrektur- und Feedbackmöglichkeiten.</w:t>
            </w:r>
          </w:p>
          <w:p w14:paraId="2889A0F8" w14:textId="77777777" w:rsidR="00466359" w:rsidRPr="00466359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Bereitstellung multimedialer Lernpfade zur individuellen Lernweggestaltung.</w:t>
            </w:r>
          </w:p>
        </w:tc>
      </w:tr>
      <w:tr w:rsidR="00466359" w:rsidRPr="00466359" w14:paraId="59B23773" w14:textId="77777777" w:rsidTr="000D696C">
        <w:tc>
          <w:tcPr>
            <w:tcW w:w="4499" w:type="dxa"/>
          </w:tcPr>
          <w:p w14:paraId="371C2396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  <w:t>Lernförderliches Feedback und Unterstützung</w:t>
            </w:r>
          </w:p>
        </w:tc>
        <w:tc>
          <w:tcPr>
            <w:tcW w:w="4563" w:type="dxa"/>
            <w:gridSpan w:val="2"/>
            <w:vMerge/>
          </w:tcPr>
          <w:p w14:paraId="4D8DF30E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466359" w:rsidRPr="00466359" w14:paraId="416A2E8A" w14:textId="77777777" w:rsidTr="000D696C">
        <w:tc>
          <w:tcPr>
            <w:tcW w:w="4499" w:type="dxa"/>
          </w:tcPr>
          <w:p w14:paraId="25062F0A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  <w:t>Unterstützung des selbstgesteuerten Lernens</w:t>
            </w:r>
          </w:p>
        </w:tc>
        <w:tc>
          <w:tcPr>
            <w:tcW w:w="4563" w:type="dxa"/>
            <w:gridSpan w:val="2"/>
            <w:vMerge/>
          </w:tcPr>
          <w:p w14:paraId="79475A90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466359" w:rsidRPr="00466359" w14:paraId="00CFE161" w14:textId="77777777" w:rsidTr="00466359">
        <w:tc>
          <w:tcPr>
            <w:tcW w:w="9062" w:type="dxa"/>
            <w:gridSpan w:val="3"/>
            <w:shd w:val="clear" w:color="auto" w:fill="E1EED8" w:themeFill="accent5" w:themeFillTint="33"/>
          </w:tcPr>
          <w:p w14:paraId="21883116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b/>
                <w:bCs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1"/>
                <w:szCs w:val="21"/>
              </w:rPr>
              <w:t xml:space="preserve">Kompetenzorientierten Aufgabenformaten und intelligentes </w:t>
            </w:r>
            <w:proofErr w:type="spellStart"/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1"/>
                <w:szCs w:val="21"/>
              </w:rPr>
              <w:t>Üben</w:t>
            </w:r>
            <w:proofErr w:type="spellEnd"/>
            <w:r w:rsidRPr="00466359">
              <w:rPr>
                <w:rFonts w:ascii="Calibri" w:eastAsiaTheme="majorEastAsia" w:hAnsi="Calibri" w:cs="Calibri"/>
                <w:b/>
                <w:bCs/>
                <w:color w:val="404040" w:themeColor="text1" w:themeTint="BF"/>
                <w:sz w:val="21"/>
                <w:szCs w:val="21"/>
              </w:rPr>
              <w:t xml:space="preserve"> zum Nachhaltiges Lernen</w:t>
            </w:r>
          </w:p>
        </w:tc>
      </w:tr>
      <w:tr w:rsidR="00466359" w:rsidRPr="00466359" w14:paraId="0CD3B9F5" w14:textId="77777777" w:rsidTr="000D696C">
        <w:tc>
          <w:tcPr>
            <w:tcW w:w="4499" w:type="dxa"/>
          </w:tcPr>
          <w:p w14:paraId="4205E52F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  <w:t>Medienproduktive und kollaborative Aufgabenformate</w:t>
            </w:r>
          </w:p>
        </w:tc>
        <w:tc>
          <w:tcPr>
            <w:tcW w:w="4563" w:type="dxa"/>
            <w:gridSpan w:val="2"/>
            <w:vMerge w:val="restart"/>
          </w:tcPr>
          <w:p w14:paraId="77361696" w14:textId="77777777" w:rsidR="00466359" w:rsidRPr="00073CB5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Anleitung und Begleitung zum fachlichen Austausch und gemeinsamer Problemlösung im digitalen Raum.</w:t>
            </w:r>
          </w:p>
          <w:p w14:paraId="710D6DFA" w14:textId="77777777" w:rsidR="00466359" w:rsidRPr="00466359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Schülerinnen und Schüler </w:t>
            </w:r>
            <w:r w:rsidRPr="00466359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anleiten </w:t>
            </w: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mathematische Sachverhalte </w:t>
            </w:r>
            <w:r w:rsidRPr="00466359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medial aufzubereiten </w:t>
            </w: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(z. B. durch Erklärvideos).</w:t>
            </w:r>
          </w:p>
          <w:p w14:paraId="2B4108D5" w14:textId="77777777" w:rsidR="00466359" w:rsidRPr="00466359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lastRenderedPageBreak/>
              <w:t>Einsatz von Aufgabenformaten, die Darstellungswechsel unterstützen, interaktive Lösungswege anbieten und dynamische Aufgabengenerierung ermöglichen.</w:t>
            </w:r>
          </w:p>
          <w:p w14:paraId="78FC9457" w14:textId="77777777" w:rsidR="00466359" w:rsidRPr="00466359" w:rsidRDefault="00466359" w:rsidP="00466359">
            <w:pPr>
              <w:pStyle w:val="Listenabsatz"/>
              <w:numPr>
                <w:ilvl w:val="0"/>
                <w:numId w:val="1"/>
              </w:numPr>
              <w:ind w:left="357" w:hanging="284"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Förderung </w:t>
            </w:r>
            <w:r w:rsidRPr="00466359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von vernetztem Denken</w:t>
            </w: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durch </w:t>
            </w:r>
            <w:r w:rsidRPr="00466359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Darstellungen</w:t>
            </w: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, die Zusammenhänge</w:t>
            </w:r>
            <w:r w:rsidRPr="00466359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 xml:space="preserve"> verdeutlichen</w:t>
            </w:r>
            <w:r w:rsidRPr="00073CB5"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  <w:t>.</w:t>
            </w:r>
          </w:p>
        </w:tc>
      </w:tr>
      <w:tr w:rsidR="00466359" w:rsidRPr="00466359" w14:paraId="7AB7F2E8" w14:textId="77777777" w:rsidTr="000D696C">
        <w:tc>
          <w:tcPr>
            <w:tcW w:w="4499" w:type="dxa"/>
          </w:tcPr>
          <w:p w14:paraId="31919225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  <w:t>Systematischer Erwerb von Medienkompetenz</w:t>
            </w:r>
          </w:p>
        </w:tc>
        <w:tc>
          <w:tcPr>
            <w:tcW w:w="4563" w:type="dxa"/>
            <w:gridSpan w:val="2"/>
            <w:vMerge/>
          </w:tcPr>
          <w:p w14:paraId="38A05A60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466359" w:rsidRPr="00466359" w14:paraId="7BCA689A" w14:textId="77777777" w:rsidTr="000D696C">
        <w:tc>
          <w:tcPr>
            <w:tcW w:w="4499" w:type="dxa"/>
          </w:tcPr>
          <w:p w14:paraId="7DEEACE8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  <w:t xml:space="preserve">Intelligentes Üben </w:t>
            </w:r>
          </w:p>
        </w:tc>
        <w:tc>
          <w:tcPr>
            <w:tcW w:w="4563" w:type="dxa"/>
            <w:gridSpan w:val="2"/>
            <w:vMerge/>
          </w:tcPr>
          <w:p w14:paraId="486C3F6F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</w:p>
        </w:tc>
      </w:tr>
      <w:tr w:rsidR="00466359" w:rsidRPr="00466359" w14:paraId="08F96514" w14:textId="77777777" w:rsidTr="00466359">
        <w:tc>
          <w:tcPr>
            <w:tcW w:w="9062" w:type="dxa"/>
            <w:gridSpan w:val="3"/>
            <w:shd w:val="clear" w:color="auto" w:fill="CFDEF0" w:themeFill="accent6" w:themeFillTint="33"/>
          </w:tcPr>
          <w:p w14:paraId="1F1BCFA3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b/>
                <w:bCs/>
                <w:color w:val="404040" w:themeColor="text1" w:themeTint="BF"/>
                <w:sz w:val="21"/>
                <w:szCs w:val="21"/>
              </w:rPr>
            </w:pPr>
            <w:r w:rsidRPr="00466359">
              <w:rPr>
                <w:rFonts w:ascii="Calibri" w:hAnsi="Calibri" w:cs="Calibri"/>
                <w:b/>
                <w:bCs/>
                <w:color w:val="404040" w:themeColor="text1" w:themeTint="BF"/>
                <w:sz w:val="21"/>
                <w:szCs w:val="21"/>
              </w:rPr>
              <w:t>Zur Arbeitserleichterung</w:t>
            </w:r>
          </w:p>
        </w:tc>
      </w:tr>
      <w:tr w:rsidR="00466359" w:rsidRPr="00466359" w14:paraId="1079D51A" w14:textId="77777777" w:rsidTr="000D696C">
        <w:tc>
          <w:tcPr>
            <w:tcW w:w="4499" w:type="dxa"/>
          </w:tcPr>
          <w:p w14:paraId="62A760F8" w14:textId="77777777" w:rsidR="00466359" w:rsidRPr="00466359" w:rsidRDefault="00466359" w:rsidP="000D696C">
            <w:pPr>
              <w:pStyle w:val="Listenabsatz"/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563" w:type="dxa"/>
            <w:gridSpan w:val="2"/>
          </w:tcPr>
          <w:p w14:paraId="4A3FE67B" w14:textId="77777777" w:rsidR="00466359" w:rsidRPr="00466359" w:rsidRDefault="00466359" w:rsidP="000D696C">
            <w:pPr>
              <w:spacing w:line="360" w:lineRule="auto"/>
              <w:rPr>
                <w:rFonts w:ascii="Calibri" w:hAnsi="Calibri" w:cs="Calibri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42F3FD9D" w14:textId="77777777" w:rsidR="00466359" w:rsidRPr="00466359" w:rsidRDefault="00466359">
      <w:pPr>
        <w:rPr>
          <w:rFonts w:ascii="Calibri" w:hAnsi="Calibri" w:cs="Calibri"/>
        </w:rPr>
      </w:pPr>
    </w:p>
    <w:sectPr w:rsidR="00466359" w:rsidRPr="0046635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3BA0" w14:textId="77777777" w:rsidR="00623160" w:rsidRDefault="00623160" w:rsidP="00466359">
      <w:r>
        <w:separator/>
      </w:r>
    </w:p>
  </w:endnote>
  <w:endnote w:type="continuationSeparator" w:id="0">
    <w:p w14:paraId="5966EC50" w14:textId="77777777" w:rsidR="00623160" w:rsidRDefault="00623160" w:rsidP="0046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7C02" w14:textId="77777777" w:rsidR="00623160" w:rsidRDefault="00623160" w:rsidP="00466359">
      <w:r>
        <w:separator/>
      </w:r>
    </w:p>
  </w:footnote>
  <w:footnote w:type="continuationSeparator" w:id="0">
    <w:p w14:paraId="693AFACD" w14:textId="77777777" w:rsidR="00623160" w:rsidRDefault="00623160" w:rsidP="0046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9DDC" w14:textId="40F73AB5" w:rsidR="00466359" w:rsidRDefault="00466359" w:rsidP="00466359">
    <w:pPr>
      <w:pStyle w:val="Kopfzeile"/>
      <w:jc w:val="right"/>
    </w:pPr>
    <w:r>
      <w:rPr>
        <w:noProof/>
      </w:rPr>
      <w:drawing>
        <wp:inline distT="0" distB="0" distL="0" distR="0" wp14:anchorId="67940B71" wp14:editId="380B6FAF">
          <wp:extent cx="1024569" cy="582306"/>
          <wp:effectExtent l="0" t="0" r="0" b="0"/>
          <wp:docPr id="990016027" name="Grafik 1" descr="Ein Bild, das Screenshot, Quadrat, Farbigkeit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016027" name="Grafik 1" descr="Ein Bild, das Screenshot, Quadrat, Farbigkeit, Rechteck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192" cy="612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15352"/>
    <w:multiLevelType w:val="hybridMultilevel"/>
    <w:tmpl w:val="6B9CA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8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59"/>
    <w:rsid w:val="00154140"/>
    <w:rsid w:val="002F4EE5"/>
    <w:rsid w:val="0034674B"/>
    <w:rsid w:val="003E1D2E"/>
    <w:rsid w:val="00466359"/>
    <w:rsid w:val="0062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29F4"/>
  <w15:chartTrackingRefBased/>
  <w15:docId w15:val="{518869B5-0303-DB44-BBF1-A5C76A55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6359"/>
  </w:style>
  <w:style w:type="paragraph" w:styleId="berschrift1">
    <w:name w:val="heading 1"/>
    <w:basedOn w:val="Standard"/>
    <w:next w:val="Standard"/>
    <w:link w:val="berschrift1Zchn"/>
    <w:uiPriority w:val="9"/>
    <w:qFormat/>
    <w:rsid w:val="00466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28F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6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28F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6359"/>
    <w:pPr>
      <w:keepNext/>
      <w:keepLines/>
      <w:spacing w:before="160" w:after="80"/>
      <w:outlineLvl w:val="2"/>
    </w:pPr>
    <w:rPr>
      <w:rFonts w:eastAsiaTheme="majorEastAsia" w:cstheme="majorBidi"/>
      <w:color w:val="27528F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6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28F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6359"/>
    <w:pPr>
      <w:keepNext/>
      <w:keepLines/>
      <w:spacing w:before="80" w:after="40"/>
      <w:outlineLvl w:val="4"/>
    </w:pPr>
    <w:rPr>
      <w:rFonts w:eastAsiaTheme="majorEastAsia" w:cstheme="majorBidi"/>
      <w:color w:val="27528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63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63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63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63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6359"/>
    <w:rPr>
      <w:rFonts w:asciiTheme="majorHAnsi" w:eastAsiaTheme="majorEastAsia" w:hAnsiTheme="majorHAnsi" w:cstheme="majorBidi"/>
      <w:color w:val="27528F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6359"/>
    <w:rPr>
      <w:rFonts w:asciiTheme="majorHAnsi" w:eastAsiaTheme="majorEastAsia" w:hAnsiTheme="majorHAnsi" w:cstheme="majorBidi"/>
      <w:color w:val="27528F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6359"/>
    <w:rPr>
      <w:rFonts w:eastAsiaTheme="majorEastAsia" w:cstheme="majorBidi"/>
      <w:color w:val="27528F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6359"/>
    <w:rPr>
      <w:rFonts w:eastAsiaTheme="majorEastAsia" w:cstheme="majorBidi"/>
      <w:i/>
      <w:iCs/>
      <w:color w:val="27528F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6359"/>
    <w:rPr>
      <w:rFonts w:eastAsiaTheme="majorEastAsia" w:cstheme="majorBidi"/>
      <w:color w:val="27528F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63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63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63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63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6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6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63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6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63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63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63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6359"/>
    <w:rPr>
      <w:i/>
      <w:iCs/>
      <w:color w:val="27528F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6359"/>
    <w:pPr>
      <w:pBdr>
        <w:top w:val="single" w:sz="4" w:space="10" w:color="27528F" w:themeColor="accent1" w:themeShade="BF"/>
        <w:bottom w:val="single" w:sz="4" w:space="10" w:color="27528F" w:themeColor="accent1" w:themeShade="BF"/>
      </w:pBdr>
      <w:spacing w:before="360" w:after="360"/>
      <w:ind w:left="864" w:right="864"/>
      <w:jc w:val="center"/>
    </w:pPr>
    <w:rPr>
      <w:i/>
      <w:iCs/>
      <w:color w:val="27528F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6359"/>
    <w:rPr>
      <w:i/>
      <w:iCs/>
      <w:color w:val="27528F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6359"/>
    <w:rPr>
      <w:b/>
      <w:bCs/>
      <w:smallCaps/>
      <w:color w:val="27528F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66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663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359"/>
  </w:style>
  <w:style w:type="paragraph" w:styleId="Fuzeile">
    <w:name w:val="footer"/>
    <w:basedOn w:val="Standard"/>
    <w:link w:val="FuzeileZchn"/>
    <w:uiPriority w:val="99"/>
    <w:unhideWhenUsed/>
    <w:rsid w:val="004663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46FC0"/>
      </a:accent1>
      <a:accent2>
        <a:srgbClr val="499BD3"/>
      </a:accent2>
      <a:accent3>
        <a:srgbClr val="4999A0"/>
      </a:accent3>
      <a:accent4>
        <a:srgbClr val="499776"/>
      </a:accent4>
      <a:accent5>
        <a:srgbClr val="6CA348"/>
      </a:accent5>
      <a:accent6>
        <a:srgbClr val="30619B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1</cp:revision>
  <dcterms:created xsi:type="dcterms:W3CDTF">2026-04-03T10:22:00Z</dcterms:created>
  <dcterms:modified xsi:type="dcterms:W3CDTF">2026-04-03T10:31:00Z</dcterms:modified>
</cp:coreProperties>
</file>