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D327D7" w14:textId="58971967" w:rsidR="001C07AC" w:rsidRDefault="001C07AC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27"/>
        <w:gridCol w:w="9816"/>
      </w:tblGrid>
      <w:tr w:rsidR="004D627D" w:rsidRPr="002234F4" w14:paraId="25D6BC23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7FB7C28" w14:textId="0168D13D" w:rsidR="004D627D" w:rsidRPr="004D627D" w:rsidRDefault="00F60DCB" w:rsidP="004D627D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Digitale Organisationsstruktur im Unterricht</w:t>
            </w:r>
          </w:p>
        </w:tc>
      </w:tr>
      <w:tr w:rsidR="00102EF9" w:rsidRPr="002234F4" w14:paraId="1221BD11" w14:textId="77777777" w:rsidTr="00666204">
        <w:tc>
          <w:tcPr>
            <w:tcW w:w="527" w:type="dxa"/>
          </w:tcPr>
          <w:p w14:paraId="5C40FE1B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26BE9547" w14:textId="407A3817" w:rsidR="00CB6B9C" w:rsidRPr="00CB6B9C" w:rsidRDefault="00102EF9" w:rsidP="004D627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bestehen verbindliche Absprachen zur Nutzung und Gestaltung einer einheitlichen 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digitalen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Lernumgebung (z.</w:t>
            </w:r>
            <w:r w:rsidR="006B4F0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B. Lernplattform, Dateiablage)</w:t>
            </w:r>
            <w:r w:rsidR="009F474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271E75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Arbeitsmaterialien stehen den Lernenden jederzeit und strukturiert in der einheitlichen Lernumgebung zur Verfügung. Der Workflow für die Bereitstellung und das Einsammeln von Dateien erfolgt über die einheitliche Lernumgebung.</w:t>
            </w:r>
          </w:p>
          <w:p w14:paraId="46C4910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Alle Kolleginnen und Kollegen halten die Absprachen zur einheitlichen Lernumgebung ein.</w:t>
            </w:r>
          </w:p>
          <w:p w14:paraId="7DFBA721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verbindliche Vorgaben zur Benennung in und Gestaltung der Lernumgebung, um eine nachvollziehbare Struktur für die Lernenden zu gewährleisten.</w:t>
            </w:r>
          </w:p>
          <w:p w14:paraId="3A47A00A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Erziehungsberechtigte sind darüber informiert, wo Materialien für ihre Kinder bereitgestellt werden.</w:t>
            </w:r>
          </w:p>
          <w:p w14:paraId="68D36DA2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schulweite Routinen für die Löschung nicht mehr benötigter Kurse.</w:t>
            </w:r>
          </w:p>
        </w:tc>
      </w:tr>
      <w:tr w:rsidR="00102EF9" w:rsidRPr="002234F4" w14:paraId="04D7E95F" w14:textId="77777777" w:rsidTr="00666204">
        <w:tc>
          <w:tcPr>
            <w:tcW w:w="527" w:type="dxa"/>
          </w:tcPr>
          <w:p w14:paraId="335EE727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7353D2E" w14:textId="268C0DBF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Es liegen klare Absprachen vor, ab welcher Jahrgangsstufe eine digitale Heftführung eingesetzt werden kann und wie Lehrkräfte die Lernenden dabei unterstützen.</w:t>
            </w:r>
          </w:p>
          <w:p w14:paraId="5078FACE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 ist geregelt, ob und wie eine digitale Heftführung eingesetzt werden kann. </w:t>
            </w:r>
          </w:p>
          <w:p w14:paraId="4C3A9CA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 Konzept zur Einführung und kontinuierlichen Unterstützung der Lernenden bei der digitalen Heftführung ist etabliert.</w:t>
            </w:r>
          </w:p>
          <w:p w14:paraId="7F98C17A" w14:textId="339E98B4" w:rsidR="00102EF9" w:rsidRPr="00544B94" w:rsidRDefault="00102EF9" w:rsidP="00544B94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gibt klare Empfehlungen für geeignete Anwendungen digitaler Hefte</w:t>
            </w:r>
            <w:r w:rsidR="00544B94" w:rsidRPr="00544B94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2436D78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Lehrkräfte begleiten und unterstützen die Lernenden aktiv bei der Nutzung der digitalen Heftführung.</w:t>
            </w:r>
          </w:p>
          <w:p w14:paraId="0FCB49B9" w14:textId="69E673D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existieren Strukturvorgaben oder -vorschläge für die Gestaltung digitaler Hefte.</w:t>
            </w:r>
          </w:p>
        </w:tc>
      </w:tr>
      <w:tr w:rsidR="00102EF9" w:rsidRPr="002234F4" w14:paraId="393C5780" w14:textId="77777777" w:rsidTr="00666204">
        <w:tc>
          <w:tcPr>
            <w:tcW w:w="527" w:type="dxa"/>
          </w:tcPr>
          <w:p w14:paraId="6A208699" w14:textId="77777777" w:rsidR="00102EF9" w:rsidRPr="002234F4" w:rsidRDefault="00102EF9" w:rsidP="00102EF9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6" w:type="dxa"/>
          </w:tcPr>
          <w:p w14:paraId="7CD89869" w14:textId="19307ECE" w:rsidR="00102EF9" w:rsidRPr="00CB6B9C" w:rsidRDefault="00102EF9" w:rsidP="00102EF9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 wurden Absprachen zur Kommunikation und Erreichbarkeit getroffen, um eine effektive Kommunikation sicherzustellen. </w:t>
            </w:r>
          </w:p>
          <w:p w14:paraId="1C5BE583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wurden einheitliche und festgelegte Kommunikationskanäle definiert und etabliert.</w:t>
            </w:r>
          </w:p>
          <w:p w14:paraId="0C80A5B0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Eine schulinterne Netiquette für die digitale Kommunikation ist vorhanden und wird angewendet.</w:t>
            </w:r>
          </w:p>
          <w:p w14:paraId="3E611546" w14:textId="6076ED2C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Es ist transparent kommuniziert, wann Lehrkräfte sowie Schülerinnen und Schüler nicht erreichbar sein müssen.</w:t>
            </w:r>
          </w:p>
          <w:p w14:paraId="2D79EB15" w14:textId="77777777" w:rsidR="00102EF9" w:rsidRPr="00CB6B9C" w:rsidRDefault="00102EF9" w:rsidP="00102EF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6B9C">
              <w:rPr>
                <w:rFonts w:ascii="Calibri" w:hAnsi="Calibri" w:cs="Calibri"/>
                <w:color w:val="000000"/>
                <w:sz w:val="20"/>
                <w:szCs w:val="20"/>
              </w:rPr>
              <w:t>Diese Regelungen wurden auch den Erziehungsberechtigten mitgeteilt.</w:t>
            </w:r>
          </w:p>
        </w:tc>
      </w:tr>
    </w:tbl>
    <w:p w14:paraId="47292177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7BAD8AD0" w14:textId="77777777" w:rsidR="00CB6B9C" w:rsidRDefault="00CB6B9C" w:rsidP="00CB6B9C">
      <w:pPr>
        <w:pStyle w:val="Kopfzeile"/>
        <w:contextualSpacing/>
        <w:rPr>
          <w:rFonts w:ascii="Calibri" w:hAnsi="Calibri" w:cs="Calibri"/>
          <w:sz w:val="20"/>
          <w:szCs w:val="20"/>
        </w:rPr>
      </w:pPr>
    </w:p>
    <w:p w14:paraId="588D26AD" w14:textId="77777777" w:rsidR="00CB6B9C" w:rsidRPr="00CB6B9C" w:rsidRDefault="00CB6B9C" w:rsidP="00CB6B9C">
      <w:pPr>
        <w:pStyle w:val="Kopfzeile"/>
        <w:ind w:left="360"/>
        <w:contextualSpacing/>
        <w:rPr>
          <w:rFonts w:ascii="Calibri" w:hAnsi="Calibri" w:cs="Calibri"/>
          <w:sz w:val="20"/>
          <w:szCs w:val="20"/>
        </w:rPr>
      </w:pPr>
    </w:p>
    <w:p w14:paraId="22FE1EEE" w14:textId="77777777" w:rsidR="006E2AE1" w:rsidRDefault="006E2AE1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0FBBEF41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6C9AF528" w14:textId="2B1BCEB7" w:rsidR="004D627D" w:rsidRPr="004D627D" w:rsidRDefault="00F60DCB" w:rsidP="00A049D6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Regeln für den Umgang mit den Endgeräten</w:t>
            </w:r>
          </w:p>
        </w:tc>
      </w:tr>
      <w:tr w:rsidR="00695F45" w:rsidRPr="002234F4" w14:paraId="2A1D8DF5" w14:textId="77777777" w:rsidTr="00666204">
        <w:tc>
          <w:tcPr>
            <w:tcW w:w="535" w:type="dxa"/>
          </w:tcPr>
          <w:p w14:paraId="7F7A8EB8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BC22E4B" w14:textId="315FC021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Schuleigene Regeln sind vorha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nd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en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 xml:space="preserve"> und 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d</w:t>
            </w:r>
            <w:r w:rsidR="00A82DF6">
              <w:rPr>
                <w:rFonts w:ascii="Calibri" w:hAnsi="Calibri" w:cs="Calibri"/>
                <w:i/>
                <w:iCs/>
                <w:color w:val="000000"/>
              </w:rPr>
              <w:t>ecken alle relevanten Bereiche ab.</w:t>
            </w:r>
          </w:p>
          <w:p w14:paraId="0376BA0F" w14:textId="21212AE3" w:rsidR="00695F45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 xml:space="preserve">Schuleigene Regeln für die digitale Nutzung </w:t>
            </w:r>
            <w:r w:rsidR="009F4742">
              <w:rPr>
                <w:rFonts w:ascii="Calibri" w:hAnsi="Calibri" w:cs="Calibri"/>
                <w:color w:val="000000"/>
              </w:rPr>
              <w:t xml:space="preserve">der digitalen Endgeräte </w:t>
            </w:r>
            <w:r w:rsidRPr="00BD218E">
              <w:rPr>
                <w:rFonts w:ascii="Calibri" w:hAnsi="Calibri" w:cs="Calibri"/>
                <w:color w:val="000000"/>
              </w:rPr>
              <w:t>wurden erarbeitet und werden regelmäßig angepasst.</w:t>
            </w:r>
          </w:p>
          <w:p w14:paraId="7CCC7782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Diese Regeln decken alle relevanten Bereiche ab, darunter:</w:t>
            </w:r>
          </w:p>
          <w:p w14:paraId="4B11C0EB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Verantwortung für Gerät und Inhalte</w:t>
            </w:r>
          </w:p>
          <w:p w14:paraId="0322D99B" w14:textId="6C9B9683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Sichere Nutzung </w:t>
            </w:r>
          </w:p>
          <w:p w14:paraId="6B02C7CD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Sicherstellung der Einsatzbereitschaft von Geräten</w:t>
            </w:r>
          </w:p>
          <w:p w14:paraId="64B80207" w14:textId="77777777" w:rsidR="00695F45" w:rsidRPr="002234F4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Regelungen zu Kommunikation und Erreichbarkeit</w:t>
            </w:r>
          </w:p>
          <w:p w14:paraId="0232AF5F" w14:textId="27EA06C5" w:rsidR="00695F45" w:rsidRDefault="00695F45" w:rsidP="00695F45">
            <w:pPr>
              <w:pStyle w:val="Listenabsatz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Nutzung innerhalb und außerhalb des Unterrichts</w:t>
            </w:r>
          </w:p>
          <w:p w14:paraId="6D7E8768" w14:textId="77777777" w:rsidR="00695F45" w:rsidRPr="00982D9F" w:rsidRDefault="00695F45" w:rsidP="00A049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2234F4" w14:paraId="027C15E7" w14:textId="77777777" w:rsidTr="00666204">
        <w:tc>
          <w:tcPr>
            <w:tcW w:w="535" w:type="dxa"/>
          </w:tcPr>
          <w:p w14:paraId="4ADBAD12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688B66CD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Die Regeln sind transparent kommuniziert und etabliert.</w:t>
            </w:r>
          </w:p>
          <w:p w14:paraId="46F3A97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erarbeiteten Regeln wurden eingeführt und mit den Lernenden besprochen.</w:t>
            </w:r>
          </w:p>
          <w:p w14:paraId="0CB89EF6" w14:textId="7C636799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Regeln sind jederzeit für alle Beteiligten einsehbar (z.</w:t>
            </w:r>
            <w:r w:rsidR="003A0F47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auf der Schulhomepage, als Aushang, in der Lernplattform).</w:t>
            </w:r>
          </w:p>
          <w:p w14:paraId="21B6F259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Eltern bzw. Erziehungsberechtigten wurden aktiv in die Kommunikation und Akzeptanz der Regeln eingebunden.</w:t>
            </w:r>
          </w:p>
        </w:tc>
      </w:tr>
      <w:tr w:rsidR="00695F45" w:rsidRPr="002234F4" w14:paraId="31F5D550" w14:textId="77777777" w:rsidTr="00666204">
        <w:tc>
          <w:tcPr>
            <w:tcW w:w="535" w:type="dxa"/>
          </w:tcPr>
          <w:p w14:paraId="6D610306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3DBE01A8" w14:textId="77777777" w:rsidR="00695F45" w:rsidRPr="002234F4" w:rsidRDefault="00695F45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Es gibt Absprachen zum Vorgehen bei Verstößen. </w:t>
            </w:r>
          </w:p>
          <w:p w14:paraId="3D5259D5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existieren klare Absprachen zu Konsequenzen bei Fehlverhalten im Umgang mit digitalen Geräten (z.B. nicht aufgeladenes Gerät, vergessenes Gerät, unterrichtsfremde Nutzung).</w:t>
            </w:r>
          </w:p>
          <w:p w14:paraId="1B4D0504" w14:textId="77777777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Bei Verletzungen von Persönlichkeitsrechten sind an der Schule klare Abläufe für das Vorgehen festgelegt.</w:t>
            </w:r>
          </w:p>
          <w:p w14:paraId="74C62C9D" w14:textId="10770F86" w:rsidR="00695F45" w:rsidRPr="002234F4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Ein regelmäßiger Austausch unter den Lehrkräften bezüglich des Umgangs mit Regelverstößen wird gefördert.</w:t>
            </w:r>
          </w:p>
          <w:p w14:paraId="71AA6BC8" w14:textId="77777777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für Unsicherheiten im Umgang mit Regelverstößen sind klar benannt und bekannt.</w:t>
            </w:r>
          </w:p>
        </w:tc>
      </w:tr>
      <w:tr w:rsidR="00695F45" w:rsidRPr="002234F4" w14:paraId="250E503A" w14:textId="77777777" w:rsidTr="00666204">
        <w:tc>
          <w:tcPr>
            <w:tcW w:w="535" w:type="dxa"/>
          </w:tcPr>
          <w:p w14:paraId="3F052911" w14:textId="77777777" w:rsidR="00695F45" w:rsidRPr="002234F4" w:rsidRDefault="00695F45" w:rsidP="00A049D6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0673B4AF" w14:textId="74D7BE54" w:rsidR="00BD6D5D" w:rsidRPr="00BD6D5D" w:rsidRDefault="00BD6D5D" w:rsidP="00BD6D5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BD6D5D">
              <w:rPr>
                <w:rFonts w:ascii="Calibri" w:hAnsi="Calibri" w:cs="Calibri"/>
                <w:i/>
                <w:iCs/>
                <w:color w:val="000000"/>
              </w:rPr>
              <w:t>Es gibt ein Konzept zur Sensibilisierung der Lernenden für den verantwortungsvollen Umgang mit den Endgeräten</w:t>
            </w:r>
            <w:r w:rsidR="009E335E">
              <w:rPr>
                <w:rFonts w:ascii="Calibri" w:hAnsi="Calibri" w:cs="Calibri"/>
                <w:i/>
                <w:iCs/>
                <w:color w:val="000000"/>
              </w:rPr>
              <w:t>.</w:t>
            </w:r>
            <w:r w:rsidRPr="00BD6D5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  <w:p w14:paraId="191615E5" w14:textId="1A714513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Es wird ein aktives Bewusstsein für die Notwendigkeit und den Sinn von Regeln im Umgang mit digitalen Endgeräten gefördert.</w:t>
            </w:r>
          </w:p>
          <w:p w14:paraId="7F52C2F6" w14:textId="5C973C58" w:rsidR="00695F45" w:rsidRPr="00BD218E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BD218E">
              <w:rPr>
                <w:rFonts w:ascii="Calibri" w:hAnsi="Calibri" w:cs="Calibri"/>
                <w:color w:val="000000"/>
              </w:rPr>
              <w:t>Die Schule verfügt über Konzepte für die medienpädagogische Prävention</w:t>
            </w:r>
            <w:r w:rsidR="00505A51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(z.</w:t>
            </w:r>
            <w:r w:rsidR="004D627D">
              <w:rPr>
                <w:rFonts w:ascii="Calibri" w:hAnsi="Calibri" w:cs="Calibri"/>
                <w:color w:val="000000"/>
              </w:rPr>
              <w:t xml:space="preserve"> </w:t>
            </w:r>
            <w:r w:rsidRPr="00BD218E">
              <w:rPr>
                <w:rFonts w:ascii="Calibri" w:hAnsi="Calibri" w:cs="Calibri"/>
                <w:color w:val="000000"/>
              </w:rPr>
              <w:t>B. zu Cybermobbing, Sexting, Medienkonsum).</w:t>
            </w:r>
          </w:p>
        </w:tc>
      </w:tr>
    </w:tbl>
    <w:p w14:paraId="79C93F26" w14:textId="77777777" w:rsidR="00B46F86" w:rsidRPr="00B46F86" w:rsidRDefault="00B46F86" w:rsidP="00B46F86">
      <w:pPr>
        <w:rPr>
          <w:rFonts w:ascii="Calibri" w:hAnsi="Calibri" w:cs="Calibri"/>
          <w:color w:val="000000"/>
          <w:sz w:val="22"/>
          <w:szCs w:val="22"/>
        </w:rPr>
      </w:pPr>
    </w:p>
    <w:p w14:paraId="7D3A93BB" w14:textId="77777777" w:rsidR="00B95FB5" w:rsidRDefault="00B95FB5">
      <w: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535"/>
        <w:gridCol w:w="9950"/>
      </w:tblGrid>
      <w:tr w:rsidR="004D627D" w:rsidRPr="002234F4" w14:paraId="755AF9DA" w14:textId="77777777" w:rsidTr="00666204">
        <w:tc>
          <w:tcPr>
            <w:tcW w:w="10485" w:type="dxa"/>
            <w:gridSpan w:val="2"/>
            <w:shd w:val="clear" w:color="auto" w:fill="215E99" w:themeFill="text2" w:themeFillTint="BF"/>
          </w:tcPr>
          <w:p w14:paraId="3798A0BB" w14:textId="4EE17D07" w:rsidR="004D627D" w:rsidRPr="004D627D" w:rsidRDefault="00F60DCB" w:rsidP="00A61E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Lernende: Einarbeitung &amp; Kompetenzaufbau</w:t>
            </w:r>
          </w:p>
        </w:tc>
      </w:tr>
      <w:tr w:rsidR="00A61E8B" w:rsidRPr="002234F4" w14:paraId="36B8BD4B" w14:textId="77777777" w:rsidTr="00666204">
        <w:tc>
          <w:tcPr>
            <w:tcW w:w="535" w:type="dxa"/>
          </w:tcPr>
          <w:p w14:paraId="1B7FE860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328D3ED" w14:textId="58CBD89B" w:rsidR="0064368F" w:rsidRPr="0064368F" w:rsidRDefault="0064368F" w:rsidP="0064368F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4368F">
              <w:rPr>
                <w:rFonts w:ascii="Calibri" w:hAnsi="Calibri" w:cs="Calibri"/>
                <w:i/>
                <w:iCs/>
                <w:color w:val="000000"/>
              </w:rPr>
              <w:t>Grundlegende Inhalte zur Heranführung der Lernenden an die Arbeitsweise (Einarbeitung der Lernenden) wurden definiert.</w:t>
            </w:r>
          </w:p>
          <w:p w14:paraId="17774E08" w14:textId="3D58F40A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Wichtige Inhalte aus den Bereichen Regeln, Gerätebedienung, Lernorganisation</w:t>
            </w:r>
            <w:r w:rsidR="002419A8">
              <w:rPr>
                <w:rFonts w:ascii="Calibri" w:hAnsi="Calibri" w:cs="Calibri"/>
                <w:color w:val="000000"/>
              </w:rPr>
              <w:t xml:space="preserve">, </w:t>
            </w:r>
            <w:r w:rsidR="002419A8" w:rsidRPr="002906D2">
              <w:rPr>
                <w:rFonts w:ascii="Calibri" w:hAnsi="Calibri" w:cs="Calibri"/>
                <w:color w:val="000000"/>
              </w:rPr>
              <w:t>Problemlösung</w:t>
            </w:r>
            <w:r w:rsidR="002419A8">
              <w:rPr>
                <w:rFonts w:ascii="Calibri" w:hAnsi="Calibri" w:cs="Calibri"/>
                <w:color w:val="000000"/>
              </w:rPr>
              <w:t xml:space="preserve"> </w:t>
            </w:r>
            <w:r w:rsidRPr="002906D2">
              <w:rPr>
                <w:rFonts w:ascii="Calibri" w:hAnsi="Calibri" w:cs="Calibri"/>
                <w:color w:val="000000"/>
              </w:rPr>
              <w:t xml:space="preserve">und </w:t>
            </w:r>
            <w:r w:rsidR="002419A8" w:rsidRPr="002906D2">
              <w:rPr>
                <w:rFonts w:ascii="Calibri" w:hAnsi="Calibri" w:cs="Calibri"/>
                <w:color w:val="000000"/>
              </w:rPr>
              <w:t xml:space="preserve">Medienerziehung </w:t>
            </w:r>
            <w:r w:rsidRPr="002906D2">
              <w:rPr>
                <w:rFonts w:ascii="Calibri" w:hAnsi="Calibri" w:cs="Calibri"/>
                <w:color w:val="000000"/>
              </w:rPr>
              <w:t>wurden definiert.</w:t>
            </w:r>
          </w:p>
          <w:p w14:paraId="56F9582E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906D2">
              <w:rPr>
                <w:rFonts w:ascii="Calibri" w:hAnsi="Calibri" w:cs="Calibri"/>
                <w:color w:val="000000"/>
              </w:rPr>
              <w:t>Es ist festgelegt, welche dieser Inhalte zu Beginn der Nutzung digitaler Endgeräte im Unterricht thematisiert werden müssen.</w:t>
            </w:r>
          </w:p>
        </w:tc>
      </w:tr>
      <w:tr w:rsidR="00A61E8B" w:rsidRPr="002234F4" w14:paraId="04B5DEF3" w14:textId="77777777" w:rsidTr="00666204">
        <w:tc>
          <w:tcPr>
            <w:tcW w:w="535" w:type="dxa"/>
          </w:tcPr>
          <w:p w14:paraId="6842C541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649634BD" w14:textId="59386763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gibt ein Konzept zur Vermittlung der Inhalte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(Einarbeitungskonzept)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. </w:t>
            </w:r>
          </w:p>
          <w:p w14:paraId="7172269A" w14:textId="7C665AC8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 festgelegt, wer die Vermittlung der Inhalte übernimmt (z.</w:t>
            </w:r>
            <w:r w:rsidR="00B40D43">
              <w:rPr>
                <w:rFonts w:ascii="Calibri" w:hAnsi="Calibri" w:cs="Calibri"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color w:val="000000"/>
              </w:rPr>
              <w:t>B. Klassen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="00B40D43">
              <w:rPr>
                <w:rFonts w:ascii="Calibri" w:hAnsi="Calibri" w:cs="Calibri"/>
                <w:color w:val="000000"/>
              </w:rPr>
              <w:t>eitung</w:t>
            </w:r>
            <w:r w:rsidRPr="002234F4">
              <w:rPr>
                <w:rFonts w:ascii="Calibri" w:hAnsi="Calibri" w:cs="Calibri"/>
                <w:color w:val="000000"/>
              </w:rPr>
              <w:t>, ein Team von Lehrkräften).</w:t>
            </w:r>
          </w:p>
          <w:p w14:paraId="433FCA05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ist definiert, wann und in welcher Form die Bausteine des Einarbeitungskonzeptes stattfinden.</w:t>
            </w:r>
          </w:p>
          <w:p w14:paraId="01360733" w14:textId="77777777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Das Konzept ist verschriftlicht und allen Lehrkräften bekannt.</w:t>
            </w:r>
          </w:p>
          <w:p w14:paraId="10BED9CA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Jede Lehrkraft kann ihre Unterrichtsplanung auf verlässliche digitale Kompetenzen bei den Lernenden aufbauen.</w:t>
            </w:r>
          </w:p>
        </w:tc>
      </w:tr>
      <w:tr w:rsidR="00A61E8B" w:rsidRPr="002234F4" w14:paraId="6595632E" w14:textId="77777777" w:rsidTr="00666204">
        <w:tc>
          <w:tcPr>
            <w:tcW w:w="535" w:type="dxa"/>
          </w:tcPr>
          <w:p w14:paraId="5036B09C" w14:textId="77777777" w:rsidR="00A61E8B" w:rsidRPr="002234F4" w:rsidRDefault="00A61E8B" w:rsidP="00A61E8B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50" w:type="dxa"/>
          </w:tcPr>
          <w:p w14:paraId="5D2225D4" w14:textId="00E79A2D" w:rsidR="00A61E8B" w:rsidRPr="002234F4" w:rsidRDefault="00A61E8B" w:rsidP="00A61E8B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Es liegen Unterstützungsangebote zur Begleitung der Verantwortliche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n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 xml:space="preserve"> (z.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B.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>Klassenl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ei</w:t>
            </w:r>
            <w:r w:rsidR="004D627D">
              <w:rPr>
                <w:rFonts w:ascii="Calibri" w:hAnsi="Calibri" w:cs="Calibri"/>
                <w:i/>
                <w:iCs/>
                <w:color w:val="000000"/>
              </w:rPr>
              <w:t>tung</w:t>
            </w:r>
            <w:r w:rsidR="00427D78">
              <w:rPr>
                <w:rFonts w:ascii="Calibri" w:hAnsi="Calibri" w:cs="Calibri"/>
                <w:i/>
                <w:iCs/>
                <w:color w:val="000000"/>
              </w:rPr>
              <w:t>)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 in </w:t>
            </w:r>
            <w:r w:rsidR="009F4742">
              <w:rPr>
                <w:rFonts w:ascii="Calibri" w:hAnsi="Calibri" w:cs="Calibri"/>
                <w:i/>
                <w:iCs/>
                <w:color w:val="000000"/>
              </w:rPr>
              <w:t>i</w:t>
            </w:r>
            <w:r w:rsidRPr="002234F4">
              <w:rPr>
                <w:rFonts w:ascii="Calibri" w:hAnsi="Calibri" w:cs="Calibri"/>
                <w:i/>
                <w:iCs/>
                <w:color w:val="000000"/>
              </w:rPr>
              <w:t xml:space="preserve">hrer Aufgabe vor. </w:t>
            </w:r>
          </w:p>
          <w:p w14:paraId="02120D63" w14:textId="50126D44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Vorschläge zur Vermittlung der Inhalte</w:t>
            </w:r>
            <w:r w:rsidR="00B40D43">
              <w:rPr>
                <w:rFonts w:ascii="Calibri" w:hAnsi="Calibri" w:cs="Calibri"/>
                <w:color w:val="000000"/>
              </w:rPr>
              <w:t xml:space="preserve"> und weitere Unterstützungsmaterialien</w:t>
            </w:r>
            <w:r w:rsidRPr="002234F4">
              <w:rPr>
                <w:rFonts w:ascii="Calibri" w:hAnsi="Calibri" w:cs="Calibri"/>
                <w:color w:val="000000"/>
              </w:rPr>
              <w:t>, insbesondere zur Einführung der Geräte, stehen zur Verfügung</w:t>
            </w:r>
            <w:r w:rsidR="00B40D43">
              <w:rPr>
                <w:rFonts w:ascii="Calibri" w:hAnsi="Calibri" w:cs="Calibri"/>
                <w:color w:val="000000"/>
              </w:rPr>
              <w:t xml:space="preserve"> (z.</w:t>
            </w:r>
            <w:r w:rsidR="009F4742">
              <w:rPr>
                <w:rFonts w:ascii="Calibri" w:hAnsi="Calibri" w:cs="Calibri"/>
                <w:color w:val="000000"/>
              </w:rPr>
              <w:t xml:space="preserve"> </w:t>
            </w:r>
            <w:r w:rsidR="00B40D43">
              <w:rPr>
                <w:rFonts w:ascii="Calibri" w:hAnsi="Calibri" w:cs="Calibri"/>
                <w:color w:val="000000"/>
              </w:rPr>
              <w:t xml:space="preserve">B. </w:t>
            </w:r>
            <w:proofErr w:type="gramStart"/>
            <w:r w:rsidR="00B40D43">
              <w:rPr>
                <w:rFonts w:ascii="Calibri" w:hAnsi="Calibri" w:cs="Calibri"/>
                <w:color w:val="000000"/>
              </w:rPr>
              <w:t>digitalkompass.schule</w:t>
            </w:r>
            <w:proofErr w:type="gramEnd"/>
            <w:r w:rsidR="00B40D43">
              <w:rPr>
                <w:rFonts w:ascii="Calibri" w:hAnsi="Calibri" w:cs="Calibri"/>
                <w:color w:val="000000"/>
              </w:rPr>
              <w:t>)</w:t>
            </w:r>
            <w:r w:rsidRPr="002234F4">
              <w:rPr>
                <w:rFonts w:ascii="Calibri" w:hAnsi="Calibri" w:cs="Calibri"/>
                <w:color w:val="000000"/>
              </w:rPr>
              <w:t>.</w:t>
            </w:r>
          </w:p>
          <w:p w14:paraId="09983A80" w14:textId="5184B762" w:rsidR="00A61E8B" w:rsidRPr="002234F4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Über den Stundenplan kann ein geeigneter Zeitrahmen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auch außerhalb der regulären Unterrichtszeit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für die Vermittlung</w:t>
            </w:r>
            <w:r w:rsidRPr="002234F4">
              <w:rPr>
                <w:rFonts w:ascii="Calibri" w:hAnsi="Calibri" w:cs="Calibri"/>
                <w:color w:val="000000"/>
              </w:rPr>
              <w:t xml:space="preserve"> </w:t>
            </w:r>
            <w:r w:rsidR="00544B94">
              <w:rPr>
                <w:rFonts w:ascii="Calibri" w:hAnsi="Calibri" w:cs="Calibri"/>
                <w:color w:val="000000"/>
              </w:rPr>
              <w:t xml:space="preserve">und Wiederholung der Inhalte </w:t>
            </w:r>
            <w:r w:rsidRPr="002234F4">
              <w:rPr>
                <w:rFonts w:ascii="Calibri" w:hAnsi="Calibri" w:cs="Calibri"/>
                <w:color w:val="000000"/>
              </w:rPr>
              <w:t>geschaffen werden.</w:t>
            </w:r>
          </w:p>
          <w:p w14:paraId="3009086F" w14:textId="77777777" w:rsidR="00A61E8B" w:rsidRPr="002906D2" w:rsidRDefault="00A61E8B" w:rsidP="00A61E8B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Schülerinnen und Schüler unterstützen bei der Vermittlung von Inhalten.</w:t>
            </w:r>
          </w:p>
        </w:tc>
      </w:tr>
    </w:tbl>
    <w:p w14:paraId="0D5B0162" w14:textId="77777777" w:rsidR="00695F45" w:rsidRDefault="00695F45" w:rsidP="00695F45">
      <w:pPr>
        <w:pStyle w:val="Kopfzeile"/>
        <w:ind w:left="360"/>
        <w:rPr>
          <w:rFonts w:ascii="Calibri" w:hAnsi="Calibri" w:cs="Calibri"/>
          <w:sz w:val="22"/>
          <w:szCs w:val="22"/>
        </w:rPr>
      </w:pPr>
    </w:p>
    <w:p w14:paraId="72F5F080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BBEDFC2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2C60987F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CEF6E6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7F9E07D2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19DE3B6" w14:textId="77777777" w:rsidR="001C07AC" w:rsidRDefault="001C07AC">
      <w:r>
        <w:br w:type="page"/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32"/>
        <w:gridCol w:w="9669"/>
      </w:tblGrid>
      <w:tr w:rsidR="004D627D" w:rsidRPr="002234F4" w14:paraId="5259EC51" w14:textId="77777777" w:rsidTr="00666204">
        <w:tc>
          <w:tcPr>
            <w:tcW w:w="10201" w:type="dxa"/>
            <w:gridSpan w:val="2"/>
            <w:shd w:val="clear" w:color="auto" w:fill="215E99" w:themeFill="text2" w:themeFillTint="BF"/>
          </w:tcPr>
          <w:p w14:paraId="44BAEE6F" w14:textId="3676DFE2" w:rsidR="004D627D" w:rsidRPr="004D627D" w:rsidRDefault="00F60DCB" w:rsidP="007859B2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4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Lehrende: </w:t>
            </w:r>
            <w:r w:rsidR="009F47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Grundlagen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&amp; Fortbildung </w:t>
            </w:r>
          </w:p>
        </w:tc>
      </w:tr>
      <w:tr w:rsidR="00695F45" w:rsidRPr="00DD0E9C" w14:paraId="2BDE1BFF" w14:textId="77777777" w:rsidTr="00666204">
        <w:tc>
          <w:tcPr>
            <w:tcW w:w="532" w:type="dxa"/>
          </w:tcPr>
          <w:p w14:paraId="5F64895F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66E30B7F" w14:textId="6712991C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 xml:space="preserve">Grundlegende </w:t>
            </w:r>
            <w:r w:rsidR="0021764B" w:rsidRPr="004D627D">
              <w:rPr>
                <w:rFonts w:ascii="Calibri" w:hAnsi="Calibri" w:cs="Calibri"/>
                <w:i/>
                <w:iCs/>
              </w:rPr>
              <w:t xml:space="preserve">Kompetenzen </w:t>
            </w:r>
            <w:r w:rsidRPr="004D627D">
              <w:rPr>
                <w:rFonts w:ascii="Calibri" w:hAnsi="Calibri" w:cs="Calibri"/>
                <w:i/>
                <w:iCs/>
              </w:rPr>
              <w:t>wurden gemeinsam festgelegt.</w:t>
            </w:r>
          </w:p>
          <w:p w14:paraId="554C0FB1" w14:textId="1A7B673D" w:rsidR="0021764B" w:rsidRPr="004D627D" w:rsidRDefault="0021764B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Dazu wurden in den Bereichen (</w:t>
            </w:r>
            <w:r w:rsidR="009F4742">
              <w:rPr>
                <w:rFonts w:ascii="Calibri" w:hAnsi="Calibri" w:cs="Calibri"/>
                <w:color w:val="000000"/>
              </w:rPr>
              <w:t>d</w:t>
            </w:r>
            <w:r w:rsidRPr="004D627D">
              <w:rPr>
                <w:rFonts w:ascii="Calibri" w:hAnsi="Calibri" w:cs="Calibri"/>
                <w:color w:val="000000"/>
              </w:rPr>
              <w:t>igitale Organisationsstruktur an der Schule</w:t>
            </w:r>
            <w:r w:rsidR="004D627D" w:rsidRPr="004D627D">
              <w:rPr>
                <w:rFonts w:ascii="Calibri" w:hAnsi="Calibri" w:cs="Calibri"/>
                <w:color w:val="000000"/>
              </w:rPr>
              <w:t>, Technik im Klassenzimmer, u</w:t>
            </w:r>
            <w:r w:rsidRPr="004D627D">
              <w:rPr>
                <w:rFonts w:ascii="Calibri" w:hAnsi="Calibri" w:cs="Calibri"/>
                <w:color w:val="000000"/>
              </w:rPr>
              <w:t>nterrichtliche Vereinbarungen</w:t>
            </w:r>
            <w:r w:rsidR="004D627D" w:rsidRPr="004D627D">
              <w:rPr>
                <w:rFonts w:ascii="Calibri" w:hAnsi="Calibri" w:cs="Calibri"/>
                <w:color w:val="000000"/>
              </w:rPr>
              <w:t>, e</w:t>
            </w:r>
            <w:r w:rsidRPr="004D627D">
              <w:rPr>
                <w:rFonts w:ascii="Calibri" w:hAnsi="Calibri" w:cs="Calibri"/>
                <w:color w:val="000000"/>
              </w:rPr>
              <w:t>ffektive Klassenführung</w:t>
            </w:r>
            <w:r w:rsidR="004D627D" w:rsidRPr="004D627D">
              <w:rPr>
                <w:rFonts w:ascii="Calibri" w:hAnsi="Calibri" w:cs="Calibri"/>
                <w:color w:val="000000"/>
              </w:rPr>
              <w:t xml:space="preserve">, </w:t>
            </w:r>
            <w:r w:rsidRPr="004D627D">
              <w:rPr>
                <w:rFonts w:ascii="Calibri" w:hAnsi="Calibri" w:cs="Calibri"/>
                <w:color w:val="000000"/>
              </w:rPr>
              <w:t xml:space="preserve">Unterricht weiterentwickeln) schulspezifische Schwerpunkte festgelegt und an die schulischen Rahmenbedingungen (z. B. schulspezifische Anwendungen) angepasst. </w:t>
            </w:r>
          </w:p>
          <w:p w14:paraId="524F1A94" w14:textId="1B465E32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wurden </w:t>
            </w:r>
            <w:r w:rsidR="00B40D43">
              <w:rPr>
                <w:rFonts w:ascii="Calibri" w:hAnsi="Calibri" w:cs="Calibri"/>
                <w:color w:val="000000"/>
              </w:rPr>
              <w:t xml:space="preserve">daraus </w:t>
            </w:r>
            <w:r w:rsidRPr="004D627D">
              <w:rPr>
                <w:rFonts w:ascii="Calibri" w:hAnsi="Calibri" w:cs="Calibri"/>
                <w:color w:val="000000"/>
              </w:rPr>
              <w:t>digitale Kompetenzen</w:t>
            </w:r>
            <w:r w:rsidR="009F4742" w:rsidRPr="004D627D">
              <w:rPr>
                <w:rFonts w:ascii="Calibri" w:hAnsi="Calibri" w:cs="Calibri"/>
                <w:color w:val="000000"/>
              </w:rPr>
              <w:t>, über die eine Lehrkraft verfügen sollte, um an der Schule unterrichten zu können</w:t>
            </w:r>
            <w:r w:rsidR="00544B94">
              <w:rPr>
                <w:rFonts w:ascii="Calibri" w:hAnsi="Calibri" w:cs="Calibri"/>
                <w:color w:val="000000"/>
              </w:rPr>
              <w:t xml:space="preserve"> </w:t>
            </w:r>
            <w:r w:rsidR="009F4742">
              <w:rPr>
                <w:rFonts w:ascii="Calibri" w:hAnsi="Calibri" w:cs="Calibri"/>
                <w:color w:val="000000"/>
              </w:rPr>
              <w:t>abgeleitet</w:t>
            </w:r>
            <w:r w:rsidRPr="004D627D">
              <w:rPr>
                <w:rFonts w:ascii="Calibri" w:hAnsi="Calibri" w:cs="Calibri"/>
                <w:color w:val="000000"/>
              </w:rPr>
              <w:t xml:space="preserve"> und formulier</w:t>
            </w:r>
            <w:r w:rsidR="009F4742">
              <w:rPr>
                <w:rFonts w:ascii="Calibri" w:hAnsi="Calibri" w:cs="Calibri"/>
                <w:color w:val="000000"/>
              </w:rPr>
              <w:t xml:space="preserve">t. </w:t>
            </w:r>
          </w:p>
          <w:p w14:paraId="3FBB7D20" w14:textId="3E616F6F" w:rsidR="00695F45" w:rsidRPr="004D627D" w:rsidRDefault="00695F45" w:rsidP="00020FB2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 Kompetenzen wurden um die spezifischen Bedürfnisse eine</w:t>
            </w:r>
            <w:r w:rsidR="001D2D84" w:rsidRPr="004D627D">
              <w:rPr>
                <w:rFonts w:ascii="Calibri" w:hAnsi="Calibri" w:cs="Calibri"/>
                <w:color w:val="000000"/>
              </w:rPr>
              <w:t>s Unterrichts mit mobilen Endgeräten erweitert</w:t>
            </w:r>
            <w:r w:rsidRPr="004D627D">
              <w:rPr>
                <w:rFonts w:ascii="Calibri" w:hAnsi="Calibri" w:cs="Calibri"/>
                <w:color w:val="000000"/>
              </w:rPr>
              <w:t>.</w:t>
            </w:r>
          </w:p>
          <w:p w14:paraId="23205EB5" w14:textId="4F3FF596" w:rsidR="00695F45" w:rsidRPr="004D627D" w:rsidRDefault="00695F45" w:rsidP="001D2D84">
            <w:pPr>
              <w:pStyle w:val="Listenabsatz"/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</w:p>
        </w:tc>
      </w:tr>
      <w:tr w:rsidR="00695F45" w:rsidRPr="00DD0E9C" w14:paraId="1AC8C184" w14:textId="77777777" w:rsidTr="00666204">
        <w:tc>
          <w:tcPr>
            <w:tcW w:w="532" w:type="dxa"/>
          </w:tcPr>
          <w:p w14:paraId="02E4E21A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7A2A9FC4" w14:textId="0E06DF48" w:rsidR="00CE2E4B" w:rsidRPr="004D627D" w:rsidRDefault="00CE2E4B" w:rsidP="00CE2E4B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</w:rPr>
              <w:t>Lehrkräfte werden systematisch in das Unterrichten mit mobilen Endgeräten eingearbeitet (Einarbeitungskonzept).</w:t>
            </w:r>
          </w:p>
          <w:p w14:paraId="462B8FD7" w14:textId="30892B9E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existiert ein Konzept zur systematischen Einarbeitung von Lehrkräften in das </w:t>
            </w:r>
            <w:r w:rsidR="00020FB2" w:rsidRPr="009F4742">
              <w:rPr>
                <w:rFonts w:ascii="Calibri" w:hAnsi="Calibri" w:cs="Calibri"/>
              </w:rPr>
              <w:t>Unterrichten mit mobilen Endgeräten</w:t>
            </w:r>
            <w:r w:rsidRPr="009F4742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(z. B. Tutoren, verpflichtende Fortbildungen, Materialien)</w:t>
            </w:r>
            <w:r w:rsidR="009F4742">
              <w:rPr>
                <w:rFonts w:ascii="Calibri" w:hAnsi="Calibri" w:cs="Calibri"/>
                <w:color w:val="000000"/>
              </w:rPr>
              <w:t>.</w:t>
            </w:r>
          </w:p>
          <w:p w14:paraId="1039F716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Dieses Konzept ist fest in der schulinternen Fortbildungsplanung verankert.</w:t>
            </w:r>
          </w:p>
        </w:tc>
      </w:tr>
      <w:tr w:rsidR="00695F45" w:rsidRPr="00DD0E9C" w14:paraId="30B5B5F6" w14:textId="77777777" w:rsidTr="00666204">
        <w:tc>
          <w:tcPr>
            <w:tcW w:w="532" w:type="dxa"/>
          </w:tcPr>
          <w:p w14:paraId="22B4931C" w14:textId="77777777" w:rsidR="00695F45" w:rsidRPr="00DD0E9C" w:rsidRDefault="00695F45" w:rsidP="00A049D6">
            <w:pPr>
              <w:rPr>
                <w:rFonts w:ascii="Calibri" w:hAnsi="Calibri" w:cs="Calibri"/>
                <w:sz w:val="20"/>
                <w:szCs w:val="20"/>
              </w:rPr>
            </w:pPr>
            <w:r w:rsidRPr="00DD0E9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E9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0E9C">
              <w:rPr>
                <w:rFonts w:ascii="Calibri" w:hAnsi="Calibri" w:cs="Calibri"/>
                <w:sz w:val="20"/>
                <w:szCs w:val="20"/>
              </w:rPr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0E9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669" w:type="dxa"/>
          </w:tcPr>
          <w:p w14:paraId="047C6ED2" w14:textId="468893A5" w:rsidR="00695F45" w:rsidRPr="004D627D" w:rsidRDefault="00CE2E4B" w:rsidP="00A049D6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4D627D">
              <w:rPr>
                <w:rFonts w:ascii="Calibri" w:hAnsi="Calibri" w:cs="Calibri"/>
                <w:i/>
                <w:iCs/>
                <w:color w:val="000000"/>
              </w:rPr>
              <w:t>Die Fortbildungsplanung wird kontinuierlich an die Herausforderung der veränderten Ausstattung angepasst.</w:t>
            </w:r>
          </w:p>
          <w:p w14:paraId="34B41301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gibt Schwerpunktsetzungen im Fortbildungsplan, die kurz-, mittel- und langfristige Bedarfe festlegen.</w:t>
            </w:r>
          </w:p>
          <w:p w14:paraId="7B49E759" w14:textId="6FF11681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 xml:space="preserve">Es finden regelmäßig 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qualitative </w:t>
            </w:r>
            <w:r w:rsidRPr="004D627D">
              <w:rPr>
                <w:rFonts w:ascii="Calibri" w:hAnsi="Calibri" w:cs="Calibri"/>
                <w:color w:val="000000"/>
              </w:rPr>
              <w:t>Fortbildungen mit passenden Inhalten</w:t>
            </w:r>
            <w:r w:rsidR="00AD6400" w:rsidRPr="004D627D">
              <w:rPr>
                <w:rFonts w:ascii="Calibri" w:hAnsi="Calibri" w:cs="Calibri"/>
                <w:color w:val="000000"/>
              </w:rPr>
              <w:t xml:space="preserve"> statt.</w:t>
            </w:r>
          </w:p>
          <w:p w14:paraId="5D3D474D" w14:textId="629B6B8B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Die Fortbildungsinhalte sind für</w:t>
            </w:r>
            <w:r w:rsidR="000A2CA4">
              <w:rPr>
                <w:rFonts w:ascii="Calibri" w:hAnsi="Calibri" w:cs="Calibri"/>
                <w:color w:val="000000"/>
              </w:rPr>
              <w:t xml:space="preserve"> </w:t>
            </w:r>
            <w:r w:rsidRPr="004D627D">
              <w:rPr>
                <w:rFonts w:ascii="Calibri" w:hAnsi="Calibri" w:cs="Calibri"/>
                <w:color w:val="000000"/>
              </w:rPr>
              <w:t>viele Lehrkräften relevant oder unterstützen spezifische Gruppen (z.B. neue Lehrkräfte).</w:t>
            </w:r>
          </w:p>
          <w:p w14:paraId="12E54C7D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Es werden ansprechende Formate für die Umsetzung der Fortbildungen gewählt.</w:t>
            </w:r>
          </w:p>
          <w:p w14:paraId="01B40007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Eine sinnvolle Zeitplanung über das gesamte Schuljahr ermöglicht allen Lehrkräften die Teilnahme an Fortbildungen.</w:t>
            </w:r>
          </w:p>
          <w:p w14:paraId="7171AAE3" w14:textId="77777777" w:rsidR="00695F45" w:rsidRPr="004D627D" w:rsidRDefault="00695F45" w:rsidP="00695F4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4D627D">
              <w:rPr>
                <w:rFonts w:ascii="Calibri" w:hAnsi="Calibri" w:cs="Calibri"/>
                <w:color w:val="000000"/>
              </w:rPr>
              <w:t>Schulinterne und externe Expertinnen bzw. Experten werden für die Fortbildungen eingebunden.</w:t>
            </w:r>
          </w:p>
        </w:tc>
      </w:tr>
    </w:tbl>
    <w:p w14:paraId="01C63349" w14:textId="77777777" w:rsidR="00826C76" w:rsidRDefault="00826C76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5063F99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0FDF3C3C" w14:textId="77777777" w:rsidR="00BD6D5D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3440D30F" w14:textId="77777777" w:rsidR="00BD6D5D" w:rsidRPr="00DD0E9C" w:rsidRDefault="00BD6D5D" w:rsidP="00DD0E9C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</w:p>
    <w:p w14:paraId="41B882A4" w14:textId="77777777" w:rsidR="00020FB2" w:rsidRDefault="00020FB2">
      <w: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5"/>
        <w:gridCol w:w="9808"/>
      </w:tblGrid>
      <w:tr w:rsidR="004D627D" w:rsidRPr="002234F4" w14:paraId="54A5193A" w14:textId="77777777" w:rsidTr="00666204">
        <w:tc>
          <w:tcPr>
            <w:tcW w:w="10343" w:type="dxa"/>
            <w:gridSpan w:val="2"/>
            <w:shd w:val="clear" w:color="auto" w:fill="215E99" w:themeFill="text2" w:themeFillTint="BF"/>
          </w:tcPr>
          <w:p w14:paraId="106A2F4B" w14:textId="72F3FB4C" w:rsidR="004D627D" w:rsidRPr="004D627D" w:rsidRDefault="00F60DCB" w:rsidP="007859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="004D627D"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Schulinterne Unterstützungssysteme</w:t>
            </w:r>
          </w:p>
        </w:tc>
      </w:tr>
      <w:tr w:rsidR="003E2555" w:rsidRPr="002234F4" w14:paraId="382B59F5" w14:textId="77777777" w:rsidTr="00666204">
        <w:tc>
          <w:tcPr>
            <w:tcW w:w="535" w:type="dxa"/>
          </w:tcPr>
          <w:p w14:paraId="200EDAA3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74E65BFB" w14:textId="77777777" w:rsidR="003E2555" w:rsidRDefault="003E2555" w:rsidP="003E2555">
            <w:pPr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Der Unterstützungsbedarf wurde an der Schule definiert und passende Lösungen dafür gefunden. </w:t>
            </w:r>
          </w:p>
          <w:p w14:paraId="446391F0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Der Unterstützungsbedarf in den Bereichen Technik, Unterricht und Medienerziehung wurde an der Schule definiert.</w:t>
            </w:r>
          </w:p>
          <w:p w14:paraId="3AE2714A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Für jede Zielgruppe (Lernende, Lehrende und Erziehungsberechtigte) wurden relevante Unterstützungsbereiche ausgewählt.</w:t>
            </w:r>
          </w:p>
          <w:p w14:paraId="1C20FA34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wurden passende Formen der Unterstützung gefunden und etabliert (z.B. benannte Ansprechpartner, zugängliche Unterstützungsmaterialien, FAQs).</w:t>
            </w:r>
          </w:p>
        </w:tc>
      </w:tr>
      <w:tr w:rsidR="003E2555" w:rsidRPr="002234F4" w14:paraId="1EC214A5" w14:textId="77777777" w:rsidTr="00666204">
        <w:tc>
          <w:tcPr>
            <w:tcW w:w="535" w:type="dxa"/>
          </w:tcPr>
          <w:p w14:paraId="7226E744" w14:textId="77777777" w:rsidR="003E2555" w:rsidRPr="002234F4" w:rsidRDefault="003E2555" w:rsidP="003E2555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08" w:type="dxa"/>
          </w:tcPr>
          <w:p w14:paraId="11715778" w14:textId="5902D6F1" w:rsidR="003E2555" w:rsidRPr="002234F4" w:rsidRDefault="003E2555" w:rsidP="003E255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2234F4">
              <w:rPr>
                <w:rFonts w:ascii="Calibri" w:hAnsi="Calibri" w:cs="Calibri"/>
                <w:i/>
                <w:iCs/>
                <w:color w:val="000000"/>
              </w:rPr>
              <w:t>Das Unterstützungsangebot ist allen bekannt, und die vorgegebenen Wege werden eingehalten.</w:t>
            </w:r>
          </w:p>
          <w:p w14:paraId="44354C8B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sind klar benannt, und deren Erreichbarkeit ist transparent kommuniziert.</w:t>
            </w:r>
          </w:p>
          <w:p w14:paraId="4BC641F1" w14:textId="77777777" w:rsidR="003E2555" w:rsidRPr="002234F4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 xml:space="preserve">Unterstützungsmaterialien zur Lösung </w:t>
            </w:r>
            <w:r>
              <w:rPr>
                <w:rFonts w:ascii="Calibri" w:hAnsi="Calibri" w:cs="Calibri"/>
                <w:color w:val="000000"/>
              </w:rPr>
              <w:t>häufiger</w:t>
            </w:r>
            <w:r w:rsidRPr="002234F4">
              <w:rPr>
                <w:rFonts w:ascii="Calibri" w:hAnsi="Calibri" w:cs="Calibri"/>
                <w:color w:val="000000"/>
              </w:rPr>
              <w:t xml:space="preserve"> Probleme sind für alle zugänglich und werden aktiv genutzt.</w:t>
            </w:r>
          </w:p>
          <w:p w14:paraId="0FDCA567" w14:textId="77777777" w:rsidR="003E2555" w:rsidRPr="00C26213" w:rsidRDefault="003E2555" w:rsidP="003E2555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wird klar kommuniziert, für welche Bereiche die Schule keine Zuständigkeit hat.</w:t>
            </w:r>
          </w:p>
        </w:tc>
      </w:tr>
    </w:tbl>
    <w:p w14:paraId="7F849C65" w14:textId="77777777" w:rsidR="00695F45" w:rsidRDefault="00695F45" w:rsidP="00695F45">
      <w:pPr>
        <w:pStyle w:val="Kopfzeile"/>
        <w:ind w:left="1080"/>
        <w:rPr>
          <w:rFonts w:ascii="Calibri" w:hAnsi="Calibri" w:cs="Calibri"/>
          <w:sz w:val="22"/>
          <w:szCs w:val="22"/>
        </w:rPr>
      </w:pPr>
    </w:p>
    <w:p w14:paraId="49C84D95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279ED14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088DC491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32F0C10D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D870280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717B77B1" w14:textId="4FB5C374" w:rsidR="00F60DCB" w:rsidRDefault="00F60D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533"/>
        <w:gridCol w:w="9810"/>
      </w:tblGrid>
      <w:tr w:rsidR="00F60DCB" w:rsidRPr="002234F4" w14:paraId="659350DC" w14:textId="77777777" w:rsidTr="00BC6CA1">
        <w:tc>
          <w:tcPr>
            <w:tcW w:w="10343" w:type="dxa"/>
            <w:gridSpan w:val="2"/>
            <w:shd w:val="clear" w:color="auto" w:fill="215E99" w:themeFill="text2" w:themeFillTint="BF"/>
          </w:tcPr>
          <w:p w14:paraId="37E19EBC" w14:textId="5A1D565A" w:rsidR="00F60DCB" w:rsidRPr="004D627D" w:rsidRDefault="00F60DCB" w:rsidP="00BC6C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6</w:t>
            </w:r>
            <w:r w:rsidRPr="004D62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Technik und Software </w:t>
            </w:r>
          </w:p>
        </w:tc>
      </w:tr>
      <w:tr w:rsidR="00F60DCB" w:rsidRPr="002234F4" w14:paraId="1BA3A377" w14:textId="77777777" w:rsidTr="00BC6CA1">
        <w:tc>
          <w:tcPr>
            <w:tcW w:w="533" w:type="dxa"/>
          </w:tcPr>
          <w:p w14:paraId="5F91FB76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E68BB26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 xml:space="preserve">Die Technik im Klassenzimmer ist an die Ausstattung </w:t>
            </w:r>
            <w:r>
              <w:rPr>
                <w:rFonts w:ascii="Calibri" w:hAnsi="Calibri" w:cs="Calibri"/>
                <w:i/>
                <w:iCs/>
              </w:rPr>
              <w:t xml:space="preserve">mit mobilen Schülerendgeräten </w:t>
            </w:r>
            <w:r w:rsidRPr="002234F4">
              <w:rPr>
                <w:rFonts w:ascii="Calibri" w:hAnsi="Calibri" w:cs="Calibri"/>
                <w:i/>
                <w:iCs/>
              </w:rPr>
              <w:t>angepasst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12E0A67B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Lehrer- und Schülergeräte sind stabil per WLAN im Schulnetz eingebunden und verfügen über eine zuverlässige Internetverbindung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4F5F71F5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Die Projektion auf die Großbilddarstellung (inkl. Ton und Bild) funktioniert zuverlässig, auch kabellos.</w:t>
            </w:r>
          </w:p>
        </w:tc>
      </w:tr>
      <w:tr w:rsidR="00F60DCB" w:rsidRPr="002234F4" w14:paraId="1DA9715C" w14:textId="77777777" w:rsidTr="00BC6CA1">
        <w:tc>
          <w:tcPr>
            <w:tcW w:w="533" w:type="dxa"/>
          </w:tcPr>
          <w:p w14:paraId="6FC2CF70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1F9CF945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Vereinbarungen zu unterrichtlichen Anwendungen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4139006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gibt </w:t>
            </w:r>
            <w:r>
              <w:rPr>
                <w:rFonts w:ascii="Calibri" w:hAnsi="Calibri" w:cs="Calibri"/>
                <w:color w:val="000000"/>
              </w:rPr>
              <w:t xml:space="preserve">abgestimmt auf die Klassenstufe </w:t>
            </w:r>
            <w:r w:rsidRPr="000A2196">
              <w:rPr>
                <w:rFonts w:ascii="Calibri" w:hAnsi="Calibri" w:cs="Calibri"/>
                <w:color w:val="000000"/>
              </w:rPr>
              <w:t>Absprachen, welche grundlegenden Anwendungen im Unterricht auf den Schülergeräten zur Verfügung stehen.</w:t>
            </w:r>
          </w:p>
          <w:p w14:paraId="5D892CB7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Weiterführende Anwendungen, beispielsweise für medienproduktives Arbeiten oder fachspezifischen Einsatz, sind eingeführt.</w:t>
            </w:r>
          </w:p>
          <w:p w14:paraId="72854FF4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 xml:space="preserve">Es ist klar geregelt, wie neue Anwendungen auf Schülergeräten ergänzt werden können. </w:t>
            </w:r>
          </w:p>
          <w:p w14:paraId="7F593DEC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Die angesprochenen Anwendungen und Regelungen sind allen Lehrkräften bekannt</w:t>
            </w:r>
            <w:r>
              <w:rPr>
                <w:rFonts w:ascii="Calibri" w:hAnsi="Calibri" w:cs="Calibri"/>
                <w:color w:val="000000"/>
              </w:rPr>
              <w:t xml:space="preserve"> und zugänglich dokumentiert</w:t>
            </w:r>
            <w:r w:rsidRPr="000A2196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F60DCB" w:rsidRPr="002234F4" w14:paraId="06B6E4F3" w14:textId="77777777" w:rsidTr="00BC6CA1">
        <w:tc>
          <w:tcPr>
            <w:tcW w:w="533" w:type="dxa"/>
          </w:tcPr>
          <w:p w14:paraId="086E9C2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3507B249" w14:textId="77777777" w:rsidR="007352DD" w:rsidRPr="007352DD" w:rsidRDefault="007352DD" w:rsidP="007352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i/>
                <w:iCs/>
              </w:rPr>
              <w:t xml:space="preserve">Die Schülergeräte sind so konfiguriert, dass sie störungsfrei im Unterricht genutzt werden können. </w:t>
            </w:r>
          </w:p>
          <w:p w14:paraId="0C248DC9" w14:textId="2781AE47" w:rsidR="00F60DCB" w:rsidRPr="007352DD" w:rsidRDefault="00F60DCB" w:rsidP="007352DD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7352DD">
              <w:rPr>
                <w:rFonts w:ascii="Calibri" w:hAnsi="Calibri" w:cs="Calibri"/>
                <w:color w:val="000000"/>
              </w:rPr>
              <w:t>Grundlegende Apps bzw. Programme sind auf den Geräten einsatzbereit.</w:t>
            </w:r>
          </w:p>
          <w:p w14:paraId="71600E91" w14:textId="77777777" w:rsidR="00F60DC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0A2196">
              <w:rPr>
                <w:rFonts w:ascii="Calibri" w:hAnsi="Calibri" w:cs="Calibri"/>
                <w:color w:val="000000"/>
              </w:rPr>
              <w:t>Alle technischen Möglichkeiten werden ausgeschöpft, um die Geräte für den unterrichtlichen Einsatz zu optimieren (abhängig von der Geräteadministration), wie z.B.:</w:t>
            </w:r>
          </w:p>
          <w:p w14:paraId="0D1BB382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 xml:space="preserve">Schaffung einer reizarmen Lernumgebung </w:t>
            </w:r>
          </w:p>
          <w:p w14:paraId="7AC24C2D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Deaktivierung von nicht gewünschten Gerätefunktionen</w:t>
            </w:r>
          </w:p>
          <w:p w14:paraId="0AF16545" w14:textId="77777777" w:rsidR="00F60DCB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Störende Anwendungen bzw. Benachrichtigungen sind zu Unterrichtszeiten deaktiviert.</w:t>
            </w:r>
          </w:p>
          <w:p w14:paraId="69C6B266" w14:textId="77777777" w:rsidR="00F60DCB" w:rsidRPr="00666204" w:rsidRDefault="00F60DCB" w:rsidP="00BC6CA1">
            <w:pPr>
              <w:pStyle w:val="Listenabsatz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 w:rsidRPr="00666204">
              <w:rPr>
                <w:rFonts w:ascii="Calibri" w:hAnsi="Calibri" w:cs="Calibri"/>
                <w:color w:val="000000"/>
              </w:rPr>
              <w:t>Einsatz technischer Lösungen zur Begleitung des (Medien-)Nutzungsverhaltens</w:t>
            </w:r>
          </w:p>
        </w:tc>
      </w:tr>
      <w:tr w:rsidR="00F60DCB" w:rsidRPr="00B4436E" w14:paraId="1E250C44" w14:textId="77777777" w:rsidTr="00BC6CA1">
        <w:tc>
          <w:tcPr>
            <w:tcW w:w="533" w:type="dxa"/>
          </w:tcPr>
          <w:p w14:paraId="3179F55A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2EC64494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Absprachen zum Einsatz digitaler Schulbücher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B4436E">
              <w:rPr>
                <w:rFonts w:ascii="Calibri" w:hAnsi="Calibri" w:cs="Calibri"/>
                <w:i/>
                <w:iCs/>
              </w:rPr>
              <w:t>und Anwendungen, die individuelle Zugänge benötigt.</w:t>
            </w:r>
          </w:p>
          <w:p w14:paraId="0741B52A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Es ist klar geregelt, für welche Fächer und welche Personengruppen digitale Schulbücher</w:t>
            </w:r>
            <w:r>
              <w:rPr>
                <w:rFonts w:ascii="Calibri" w:hAnsi="Calibri" w:cs="Calibri"/>
              </w:rPr>
              <w:t xml:space="preserve">/oben genannten Anwendungen </w:t>
            </w:r>
            <w:r w:rsidRPr="00B4436E">
              <w:rPr>
                <w:rFonts w:ascii="Calibri" w:hAnsi="Calibri" w:cs="Calibri"/>
              </w:rPr>
              <w:t>zur Verfügung gestellt werden.</w:t>
            </w:r>
          </w:p>
          <w:p w14:paraId="7ECFC619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</w:rPr>
            </w:pPr>
            <w:r w:rsidRPr="00B4436E">
              <w:rPr>
                <w:rFonts w:ascii="Calibri" w:hAnsi="Calibri" w:cs="Calibri"/>
              </w:rPr>
              <w:t>Die Verwendung von digitalen Schulbüchern</w:t>
            </w:r>
            <w:r>
              <w:rPr>
                <w:rFonts w:ascii="Calibri" w:hAnsi="Calibri" w:cs="Calibri"/>
              </w:rPr>
              <w:t xml:space="preserve">/ oben genannten Anwendungen </w:t>
            </w:r>
            <w:r w:rsidRPr="00B4436E">
              <w:rPr>
                <w:rFonts w:ascii="Calibri" w:hAnsi="Calibri" w:cs="Calibri"/>
              </w:rPr>
              <w:t>wird zentral organisiert.</w:t>
            </w:r>
          </w:p>
          <w:p w14:paraId="03EFB5FB" w14:textId="77777777" w:rsidR="00F60DCB" w:rsidRPr="00B4436E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B4436E">
              <w:rPr>
                <w:rFonts w:ascii="Calibri" w:hAnsi="Calibri" w:cs="Calibri"/>
              </w:rPr>
              <w:t>Der Umgang mit den digitalen Schulbüchern</w:t>
            </w:r>
            <w:r>
              <w:rPr>
                <w:rFonts w:ascii="Calibri" w:hAnsi="Calibri" w:cs="Calibri"/>
              </w:rPr>
              <w:t>/Anwendungen</w:t>
            </w:r>
            <w:r w:rsidRPr="00B4436E">
              <w:rPr>
                <w:rFonts w:ascii="Calibri" w:hAnsi="Calibri" w:cs="Calibri"/>
              </w:rPr>
              <w:t xml:space="preserve"> ist allen bekannt.</w:t>
            </w:r>
          </w:p>
        </w:tc>
      </w:tr>
      <w:tr w:rsidR="00F60DCB" w:rsidRPr="002234F4" w14:paraId="0BC09947" w14:textId="77777777" w:rsidTr="00BC6CA1">
        <w:tc>
          <w:tcPr>
            <w:tcW w:w="533" w:type="dxa"/>
          </w:tcPr>
          <w:p w14:paraId="0E545B62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55426770" w14:textId="77777777" w:rsidR="00F60DCB" w:rsidRDefault="00F60DCB" w:rsidP="00BC6CA1">
            <w:pPr>
              <w:contextualSpacing/>
              <w:rPr>
                <w:rFonts w:ascii="Calibri" w:hAnsi="Calibri" w:cs="Calibri"/>
                <w:i/>
                <w:iCs/>
              </w:rPr>
            </w:pPr>
            <w:r w:rsidRPr="002234F4">
              <w:rPr>
                <w:rFonts w:ascii="Calibri" w:hAnsi="Calibri" w:cs="Calibri"/>
                <w:i/>
                <w:iCs/>
              </w:rPr>
              <w:t>Es gibt ein Konzept zum Umgang mit Passwörtern</w:t>
            </w:r>
            <w:r>
              <w:rPr>
                <w:rFonts w:ascii="Calibri" w:hAnsi="Calibri" w:cs="Calibri"/>
                <w:i/>
                <w:iCs/>
              </w:rPr>
              <w:t>.</w:t>
            </w:r>
          </w:p>
          <w:p w14:paraId="6F870D4D" w14:textId="77777777" w:rsidR="00F60DCB" w:rsidRPr="002234F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Es existiert ein Konzept zur Passwortverwaltung, z.B. über einen Passwortmanager oder eine analoge Lösung.</w:t>
            </w:r>
          </w:p>
          <w:p w14:paraId="2B16261B" w14:textId="77777777" w:rsidR="00F60DCB" w:rsidRPr="000A2196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/>
              </w:rPr>
            </w:pPr>
            <w:r w:rsidRPr="002234F4">
              <w:rPr>
                <w:rFonts w:ascii="Calibri" w:hAnsi="Calibri" w:cs="Calibri"/>
                <w:color w:val="000000"/>
              </w:rPr>
              <w:t>Ansprechpartner bei vergessenen Passwörtern sind bekannt, und der Kommunikationsweg ist klar geregelt.</w:t>
            </w:r>
          </w:p>
        </w:tc>
      </w:tr>
      <w:tr w:rsidR="00F60DCB" w:rsidRPr="002234F4" w14:paraId="3963AB5B" w14:textId="77777777" w:rsidTr="00BC6CA1">
        <w:trPr>
          <w:trHeight w:val="2598"/>
        </w:trPr>
        <w:tc>
          <w:tcPr>
            <w:tcW w:w="533" w:type="dxa"/>
          </w:tcPr>
          <w:p w14:paraId="76C4E67F" w14:textId="77777777" w:rsidR="00F60DCB" w:rsidRPr="002234F4" w:rsidRDefault="00F60DCB" w:rsidP="00BC6CA1">
            <w:pPr>
              <w:rPr>
                <w:rFonts w:ascii="Calibri" w:hAnsi="Calibri" w:cs="Calibri"/>
              </w:rPr>
            </w:pPr>
            <w:r w:rsidRPr="002234F4">
              <w:rPr>
                <w:rFonts w:ascii="Calibri" w:hAnsi="Calibri" w:cs="Calibri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4F4">
              <w:rPr>
                <w:rFonts w:ascii="Calibri" w:hAnsi="Calibri" w:cs="Calibri"/>
              </w:rPr>
              <w:instrText xml:space="preserve"> FORMCHECKBOX </w:instrText>
            </w:r>
            <w:r w:rsidRPr="002234F4">
              <w:rPr>
                <w:rFonts w:ascii="Calibri" w:hAnsi="Calibri" w:cs="Calibri"/>
              </w:rPr>
            </w:r>
            <w:r w:rsidRPr="002234F4">
              <w:rPr>
                <w:rFonts w:ascii="Calibri" w:hAnsi="Calibri" w:cs="Calibri"/>
              </w:rPr>
              <w:fldChar w:fldCharType="separate"/>
            </w:r>
            <w:r w:rsidRPr="002234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10" w:type="dxa"/>
          </w:tcPr>
          <w:p w14:paraId="7ACB8EB1" w14:textId="77777777" w:rsidR="00F60DCB" w:rsidRPr="003401D4" w:rsidRDefault="00F60DCB" w:rsidP="00BC6CA1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>Für die Leihgeräte existiert ein funktionierendes organisatorisches und technisches Nutzungskonzept</w:t>
            </w:r>
            <w:r>
              <w:rPr>
                <w:rFonts w:ascii="Calibri" w:hAnsi="Calibri" w:cs="Calibri"/>
                <w:i/>
                <w:iCs/>
                <w:color w:val="000000" w:themeColor="text1"/>
              </w:rPr>
              <w:t>.</w:t>
            </w:r>
          </w:p>
          <w:p w14:paraId="6E2E268A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an der Schule eine funktionierendes Ausleihkonzept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B898147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De Geräte sind einsatzbereit.</w:t>
            </w:r>
          </w:p>
          <w:p w14:paraId="65317874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Es gibt Konzepte zum Schutz personenbezogener Daten auf den Leihgeräten (technische oder pädagogische Maßnahmen</w:t>
            </w:r>
            <w:r>
              <w:rPr>
                <w:rFonts w:ascii="Calibri" w:hAnsi="Calibri" w:cs="Calibri"/>
                <w:color w:val="000000" w:themeColor="text1"/>
              </w:rPr>
              <w:t>)</w:t>
            </w:r>
          </w:p>
          <w:p w14:paraId="35E6D721" w14:textId="77777777" w:rsidR="00F60DCB" w:rsidRPr="003401D4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color w:val="000000" w:themeColor="text1"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 xml:space="preserve">In dem Konzept sind Ansprechpartner und Ansprechwege bei auftretenden Problemen oder Änderungswünsche bei den Anwendungen klar kommuniziert. </w:t>
            </w:r>
          </w:p>
          <w:p w14:paraId="73D7D06C" w14:textId="77777777" w:rsidR="00F60DCB" w:rsidRPr="00F82BDB" w:rsidRDefault="00F60DCB" w:rsidP="00BC6CA1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/>
              <w:ind w:left="362" w:hanging="284"/>
              <w:rPr>
                <w:rFonts w:ascii="Calibri" w:hAnsi="Calibri" w:cs="Calibri"/>
                <w:i/>
                <w:iCs/>
              </w:rPr>
            </w:pPr>
            <w:r w:rsidRPr="003401D4">
              <w:rPr>
                <w:rFonts w:ascii="Calibri" w:hAnsi="Calibri" w:cs="Calibri"/>
                <w:color w:val="000000" w:themeColor="text1"/>
              </w:rPr>
              <w:t>Das Konzept ist verschriftlich und allen zugänglich.</w:t>
            </w:r>
            <w:r w:rsidRPr="003401D4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0B18221E" w14:textId="77777777" w:rsidR="00DD0E9C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EE95218" w14:textId="77777777" w:rsidR="00DD0E9C" w:rsidRPr="00695F45" w:rsidRDefault="00DD0E9C" w:rsidP="00DD0E9C">
      <w:pPr>
        <w:pStyle w:val="Kopfzeile"/>
        <w:rPr>
          <w:rFonts w:ascii="Calibri" w:hAnsi="Calibri" w:cs="Calibri"/>
          <w:sz w:val="22"/>
          <w:szCs w:val="22"/>
        </w:rPr>
      </w:pPr>
    </w:p>
    <w:p w14:paraId="580D8298" w14:textId="77777777" w:rsidR="00695F45" w:rsidRPr="00802C28" w:rsidRDefault="00695F45" w:rsidP="00695F45">
      <w:pPr>
        <w:rPr>
          <w:rFonts w:ascii="Calibri" w:hAnsi="Calibri" w:cs="Calibri"/>
          <w:sz w:val="22"/>
          <w:szCs w:val="22"/>
        </w:rPr>
      </w:pPr>
    </w:p>
    <w:sectPr w:rsidR="00695F45" w:rsidRPr="00802C28" w:rsidSect="00934D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EFDA3B" w14:textId="77777777" w:rsidR="00BD6887" w:rsidRDefault="00BD6887" w:rsidP="00102EF9">
      <w:r>
        <w:separator/>
      </w:r>
    </w:p>
  </w:endnote>
  <w:endnote w:type="continuationSeparator" w:id="0">
    <w:p w14:paraId="25CFB492" w14:textId="77777777" w:rsidR="00BD6887" w:rsidRDefault="00BD6887" w:rsidP="0010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A36B1A" w14:textId="77777777" w:rsidR="00BD6887" w:rsidRDefault="00BD6887" w:rsidP="00102EF9">
      <w:r>
        <w:separator/>
      </w:r>
    </w:p>
  </w:footnote>
  <w:footnote w:type="continuationSeparator" w:id="0">
    <w:p w14:paraId="15ACBE7F" w14:textId="77777777" w:rsidR="00BD6887" w:rsidRDefault="00BD6887" w:rsidP="0010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37EE7F" w14:textId="38C83135" w:rsidR="004D627D" w:rsidRPr="00102EF9" w:rsidRDefault="004D627D" w:rsidP="004D627D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09597E9" wp14:editId="4700476C">
          <wp:simplePos x="0" y="0"/>
          <wp:positionH relativeFrom="column">
            <wp:posOffset>4698843</wp:posOffset>
          </wp:positionH>
          <wp:positionV relativeFrom="paragraph">
            <wp:posOffset>3810</wp:posOffset>
          </wp:positionV>
          <wp:extent cx="1443600" cy="313200"/>
          <wp:effectExtent l="0" t="0" r="4445" b="4445"/>
          <wp:wrapTight wrapText="bothSides">
            <wp:wrapPolygon edited="0">
              <wp:start x="0" y="0"/>
              <wp:lineTo x="0" y="21030"/>
              <wp:lineTo x="21476" y="21030"/>
              <wp:lineTo x="21476" y="0"/>
              <wp:lineTo x="0" y="0"/>
            </wp:wrapPolygon>
          </wp:wrapTight>
          <wp:docPr id="950506655" name="Grafik 1" descr="Ein Bild, das Schrift, Grafiken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506655" name="Grafik 1" descr="Ein Bild, das Schrift, Grafiken, Tex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73">
      <w:rPr>
        <w:rFonts w:ascii="Calibri" w:hAnsi="Calibri" w:cs="Calibri"/>
        <w:sz w:val="22"/>
        <w:szCs w:val="22"/>
      </w:rPr>
      <w:t xml:space="preserve">Erfassung der </w:t>
    </w:r>
    <w:r w:rsidR="0067232D">
      <w:rPr>
        <w:rFonts w:ascii="Calibri" w:hAnsi="Calibri" w:cs="Calibri"/>
        <w:sz w:val="22"/>
        <w:szCs w:val="22"/>
      </w:rPr>
      <w:t>pädagogische</w:t>
    </w:r>
    <w:r w:rsidR="005E5273">
      <w:rPr>
        <w:rFonts w:ascii="Calibri" w:hAnsi="Calibri" w:cs="Calibri"/>
        <w:sz w:val="22"/>
        <w:szCs w:val="22"/>
      </w:rPr>
      <w:t>n</w:t>
    </w:r>
    <w:r w:rsidR="0067232D">
      <w:rPr>
        <w:rFonts w:ascii="Calibri" w:hAnsi="Calibri" w:cs="Calibri"/>
        <w:sz w:val="22"/>
        <w:szCs w:val="22"/>
      </w:rPr>
      <w:t xml:space="preserve"> und technische</w:t>
    </w:r>
    <w:r w:rsidR="005E5273">
      <w:rPr>
        <w:rFonts w:ascii="Calibri" w:hAnsi="Calibri" w:cs="Calibri"/>
        <w:sz w:val="22"/>
        <w:szCs w:val="22"/>
      </w:rPr>
      <w:t>n</w:t>
    </w:r>
    <w:r w:rsidR="0067232D">
      <w:rPr>
        <w:rFonts w:ascii="Calibri" w:hAnsi="Calibri" w:cs="Calibri"/>
        <w:sz w:val="22"/>
        <w:szCs w:val="22"/>
      </w:rPr>
      <w:t xml:space="preserve"> Rahmenbedingungen </w:t>
    </w:r>
  </w:p>
  <w:p w14:paraId="4C8B02CA" w14:textId="4ED6769C" w:rsidR="00102EF9" w:rsidRPr="00102EF9" w:rsidRDefault="00102EF9" w:rsidP="00102EF9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1970FD"/>
    <w:multiLevelType w:val="hybridMultilevel"/>
    <w:tmpl w:val="9C5E4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FC8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BAC"/>
    <w:multiLevelType w:val="hybridMultilevel"/>
    <w:tmpl w:val="A6CC6E8C"/>
    <w:lvl w:ilvl="0" w:tplc="B54CB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17758"/>
    <w:multiLevelType w:val="hybridMultilevel"/>
    <w:tmpl w:val="905EC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3FB0"/>
    <w:multiLevelType w:val="hybridMultilevel"/>
    <w:tmpl w:val="4AE4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3D65"/>
    <w:multiLevelType w:val="hybridMultilevel"/>
    <w:tmpl w:val="8B2A5740"/>
    <w:lvl w:ilvl="0" w:tplc="04070003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4F5F21"/>
    <w:multiLevelType w:val="multilevel"/>
    <w:tmpl w:val="7D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B0D"/>
    <w:multiLevelType w:val="hybridMultilevel"/>
    <w:tmpl w:val="F88A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2991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335E3C"/>
    <w:multiLevelType w:val="hybridMultilevel"/>
    <w:tmpl w:val="1890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2CD"/>
    <w:multiLevelType w:val="hybridMultilevel"/>
    <w:tmpl w:val="528A0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5CF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2257475"/>
    <w:multiLevelType w:val="multilevel"/>
    <w:tmpl w:val="AC641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43A1745"/>
    <w:multiLevelType w:val="hybridMultilevel"/>
    <w:tmpl w:val="B96A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5417">
    <w:abstractNumId w:val="11"/>
  </w:num>
  <w:num w:numId="2" w16cid:durableId="289433082">
    <w:abstractNumId w:val="12"/>
  </w:num>
  <w:num w:numId="3" w16cid:durableId="1397823197">
    <w:abstractNumId w:val="8"/>
  </w:num>
  <w:num w:numId="4" w16cid:durableId="128131254">
    <w:abstractNumId w:val="4"/>
  </w:num>
  <w:num w:numId="5" w16cid:durableId="9649330">
    <w:abstractNumId w:val="5"/>
  </w:num>
  <w:num w:numId="6" w16cid:durableId="1311179798">
    <w:abstractNumId w:val="6"/>
  </w:num>
  <w:num w:numId="7" w16cid:durableId="1715884994">
    <w:abstractNumId w:val="1"/>
  </w:num>
  <w:num w:numId="8" w16cid:durableId="734157346">
    <w:abstractNumId w:val="0"/>
  </w:num>
  <w:num w:numId="9" w16cid:durableId="1768689455">
    <w:abstractNumId w:val="10"/>
  </w:num>
  <w:num w:numId="10" w16cid:durableId="1000156561">
    <w:abstractNumId w:val="9"/>
  </w:num>
  <w:num w:numId="11" w16cid:durableId="207571053">
    <w:abstractNumId w:val="7"/>
  </w:num>
  <w:num w:numId="12" w16cid:durableId="613441597">
    <w:abstractNumId w:val="2"/>
  </w:num>
  <w:num w:numId="13" w16cid:durableId="1083573213">
    <w:abstractNumId w:val="13"/>
  </w:num>
  <w:num w:numId="14" w16cid:durableId="637489478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B"/>
    <w:rsid w:val="00020FB2"/>
    <w:rsid w:val="000A2CA4"/>
    <w:rsid w:val="001026BE"/>
    <w:rsid w:val="00102EF9"/>
    <w:rsid w:val="00104978"/>
    <w:rsid w:val="00131970"/>
    <w:rsid w:val="00136DEA"/>
    <w:rsid w:val="00154140"/>
    <w:rsid w:val="00182C6E"/>
    <w:rsid w:val="001C07AC"/>
    <w:rsid w:val="001D2D84"/>
    <w:rsid w:val="0021764B"/>
    <w:rsid w:val="0022306F"/>
    <w:rsid w:val="002419A8"/>
    <w:rsid w:val="0026278F"/>
    <w:rsid w:val="0026561B"/>
    <w:rsid w:val="00274B9D"/>
    <w:rsid w:val="002F5BD9"/>
    <w:rsid w:val="003401D4"/>
    <w:rsid w:val="0034674B"/>
    <w:rsid w:val="003A0F47"/>
    <w:rsid w:val="003D2FA8"/>
    <w:rsid w:val="003E1D2E"/>
    <w:rsid w:val="003E2555"/>
    <w:rsid w:val="00427D78"/>
    <w:rsid w:val="00437735"/>
    <w:rsid w:val="00464D28"/>
    <w:rsid w:val="004D627D"/>
    <w:rsid w:val="004D7DAB"/>
    <w:rsid w:val="004E28C2"/>
    <w:rsid w:val="0050280C"/>
    <w:rsid w:val="00505A51"/>
    <w:rsid w:val="00536A8B"/>
    <w:rsid w:val="00544B94"/>
    <w:rsid w:val="005710C2"/>
    <w:rsid w:val="00580BCD"/>
    <w:rsid w:val="005A1E47"/>
    <w:rsid w:val="005D3CE4"/>
    <w:rsid w:val="005E5273"/>
    <w:rsid w:val="00611C2E"/>
    <w:rsid w:val="0064368F"/>
    <w:rsid w:val="00666204"/>
    <w:rsid w:val="0067232D"/>
    <w:rsid w:val="00686BD0"/>
    <w:rsid w:val="00695F45"/>
    <w:rsid w:val="00696A0C"/>
    <w:rsid w:val="006A0993"/>
    <w:rsid w:val="006B4F06"/>
    <w:rsid w:val="006C71D1"/>
    <w:rsid w:val="006E2AE1"/>
    <w:rsid w:val="007352DD"/>
    <w:rsid w:val="00773ABA"/>
    <w:rsid w:val="007764BF"/>
    <w:rsid w:val="007859B2"/>
    <w:rsid w:val="007C6B9E"/>
    <w:rsid w:val="007D272F"/>
    <w:rsid w:val="00826C76"/>
    <w:rsid w:val="00841534"/>
    <w:rsid w:val="00847350"/>
    <w:rsid w:val="00875C32"/>
    <w:rsid w:val="0087607D"/>
    <w:rsid w:val="00934D9C"/>
    <w:rsid w:val="00940B79"/>
    <w:rsid w:val="00986239"/>
    <w:rsid w:val="009B1BB9"/>
    <w:rsid w:val="009D595E"/>
    <w:rsid w:val="009E335E"/>
    <w:rsid w:val="009F4742"/>
    <w:rsid w:val="00A30AF6"/>
    <w:rsid w:val="00A56D9E"/>
    <w:rsid w:val="00A6010A"/>
    <w:rsid w:val="00A61E8B"/>
    <w:rsid w:val="00A71BA8"/>
    <w:rsid w:val="00A82DF6"/>
    <w:rsid w:val="00A90A6E"/>
    <w:rsid w:val="00A93D70"/>
    <w:rsid w:val="00A96734"/>
    <w:rsid w:val="00AD6400"/>
    <w:rsid w:val="00B15984"/>
    <w:rsid w:val="00B40D43"/>
    <w:rsid w:val="00B4436E"/>
    <w:rsid w:val="00B46F86"/>
    <w:rsid w:val="00B8427D"/>
    <w:rsid w:val="00B95FB5"/>
    <w:rsid w:val="00BB3008"/>
    <w:rsid w:val="00BD6887"/>
    <w:rsid w:val="00BD6D5D"/>
    <w:rsid w:val="00C406B4"/>
    <w:rsid w:val="00C551A2"/>
    <w:rsid w:val="00C87EC6"/>
    <w:rsid w:val="00CB6B9C"/>
    <w:rsid w:val="00CE2E4B"/>
    <w:rsid w:val="00D142AA"/>
    <w:rsid w:val="00D34503"/>
    <w:rsid w:val="00D435E1"/>
    <w:rsid w:val="00D61A9B"/>
    <w:rsid w:val="00D80D00"/>
    <w:rsid w:val="00D968FE"/>
    <w:rsid w:val="00DC4251"/>
    <w:rsid w:val="00DD0E9C"/>
    <w:rsid w:val="00E16C65"/>
    <w:rsid w:val="00E40403"/>
    <w:rsid w:val="00EA17F8"/>
    <w:rsid w:val="00F351A0"/>
    <w:rsid w:val="00F4223C"/>
    <w:rsid w:val="00F56F2C"/>
    <w:rsid w:val="00F60DCB"/>
    <w:rsid w:val="00F65BBB"/>
    <w:rsid w:val="00F70DBA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942"/>
  <w15:chartTrackingRefBased/>
  <w15:docId w15:val="{51561B5A-08A4-1246-BDD6-2E08A40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1B"/>
  </w:style>
  <w:style w:type="paragraph" w:styleId="berschrift1">
    <w:name w:val="heading 1"/>
    <w:basedOn w:val="Standard"/>
    <w:next w:val="Standard"/>
    <w:link w:val="berschrift1Zchn"/>
    <w:uiPriority w:val="9"/>
    <w:qFormat/>
    <w:rsid w:val="0026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6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61B"/>
  </w:style>
  <w:style w:type="paragraph" w:styleId="Verzeichnis1">
    <w:name w:val="toc 1"/>
    <w:basedOn w:val="Standard"/>
    <w:next w:val="Standard"/>
    <w:autoRedefine/>
    <w:uiPriority w:val="39"/>
    <w:unhideWhenUsed/>
    <w:rsid w:val="00695F45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695F45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95F45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95F45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95F45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95F45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95F45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95F45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95F45"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95F45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95F45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2E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EF9"/>
  </w:style>
  <w:style w:type="character" w:styleId="Kommentarzeichen">
    <w:name w:val="annotation reference"/>
    <w:basedOn w:val="Absatz-Standardschriftart"/>
    <w:uiPriority w:val="99"/>
    <w:semiHidden/>
    <w:unhideWhenUsed/>
    <w:rsid w:val="00875C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C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C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C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1281</Words>
  <Characters>9134</Characters>
  <Application>Microsoft Office Word</Application>
  <DocSecurity>0</DocSecurity>
  <Lines>205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cp:lastPrinted>2025-10-15T05:32:00Z</cp:lastPrinted>
  <dcterms:created xsi:type="dcterms:W3CDTF">2026-06-17T12:25:00Z</dcterms:created>
  <dcterms:modified xsi:type="dcterms:W3CDTF">2026-06-17T12:25:00Z</dcterms:modified>
</cp:coreProperties>
</file>