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93F7" w14:textId="77777777" w:rsidR="006920CC" w:rsidRDefault="006920CC" w:rsidP="000A065E">
      <w:pPr>
        <w:pStyle w:val="1Text"/>
        <w:ind w:left="1418"/>
      </w:pPr>
    </w:p>
    <w:p w14:paraId="0DD9D99D" w14:textId="77777777" w:rsidR="006920CC" w:rsidRDefault="006920CC" w:rsidP="000A065E">
      <w:pPr>
        <w:pStyle w:val="1Text"/>
        <w:ind w:left="1418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0"/>
        <w:gridCol w:w="4211"/>
        <w:gridCol w:w="5806"/>
        <w:gridCol w:w="1530"/>
      </w:tblGrid>
      <w:tr w:rsidR="00E773F8" w:rsidRPr="005578A6" w14:paraId="36F67CA0" w14:textId="2C0F0871" w:rsidTr="00CB036B">
        <w:tc>
          <w:tcPr>
            <w:tcW w:w="2730" w:type="dxa"/>
          </w:tcPr>
          <w:p w14:paraId="32FA8FFF" w14:textId="238303F4" w:rsidR="00E773F8" w:rsidRPr="00AB4AD9" w:rsidRDefault="00E773F8" w:rsidP="000A065E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Organisatorische bzw. pädagogische Fragestellungen</w:t>
            </w:r>
          </w:p>
        </w:tc>
        <w:tc>
          <w:tcPr>
            <w:tcW w:w="4211" w:type="dxa"/>
          </w:tcPr>
          <w:p w14:paraId="5172F3BD" w14:textId="4E9B84E7" w:rsidR="00E773F8" w:rsidRPr="00AB4AD9" w:rsidRDefault="00E773F8" w:rsidP="000A065E">
            <w:pPr>
              <w:pStyle w:val="1Text"/>
              <w:ind w:left="0"/>
              <w:rPr>
                <w:rFonts w:ascii="Calibri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hAnsi="Calibri" w:cs="Calibri"/>
                <w:b/>
                <w:bCs/>
                <w:color w:val="0070C0"/>
                <w:lang w:eastAsia="de-DE"/>
              </w:rPr>
              <w:t>Erläuterungen zu den Fragestellungen</w:t>
            </w:r>
          </w:p>
        </w:tc>
        <w:tc>
          <w:tcPr>
            <w:tcW w:w="5806" w:type="dxa"/>
          </w:tcPr>
          <w:p w14:paraId="41FD8C27" w14:textId="7D10BD19" w:rsidR="00E773F8" w:rsidRPr="00AB4AD9" w:rsidRDefault="00E773F8" w:rsidP="00DF79A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AB4AD9">
              <w:rPr>
                <w:b/>
                <w:bCs/>
                <w:color w:val="0070C0"/>
                <w:sz w:val="22"/>
                <w:szCs w:val="22"/>
              </w:rPr>
              <w:t>Resultierende technische Fragestellungen (exemplarisch)</w:t>
            </w:r>
          </w:p>
        </w:tc>
        <w:tc>
          <w:tcPr>
            <w:tcW w:w="1530" w:type="dxa"/>
          </w:tcPr>
          <w:p w14:paraId="57C3AE7E" w14:textId="3370F370" w:rsidR="00E773F8" w:rsidRPr="00AB4AD9" w:rsidRDefault="00E773F8" w:rsidP="00DF79A5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Unterstützung</w:t>
            </w:r>
          </w:p>
        </w:tc>
      </w:tr>
      <w:tr w:rsidR="00E773F8" w:rsidRPr="005578A6" w14:paraId="0EA2AE22" w14:textId="0909F0A4" w:rsidTr="00CB036B">
        <w:tc>
          <w:tcPr>
            <w:tcW w:w="2730" w:type="dxa"/>
          </w:tcPr>
          <w:p w14:paraId="0B0F5A54" w14:textId="7E697783" w:rsidR="00E773F8" w:rsidRPr="00AB4AD9" w:rsidRDefault="00E773F8" w:rsidP="000D4E39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 xml:space="preserve">elche Ausstattungsvariante ist geeignet, um die 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angestrebte Unterrichtsentwicklung und die Häufigkeit der Nutzung zu unterstützen?</w:t>
            </w:r>
          </w:p>
          <w:p w14:paraId="60C05989" w14:textId="77777777" w:rsidR="00E773F8" w:rsidRPr="00AB4AD9" w:rsidRDefault="00E773F8" w:rsidP="00F7176F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4211" w:type="dxa"/>
          </w:tcPr>
          <w:p w14:paraId="4E37CB83" w14:textId="77777777" w:rsidR="00E773F8" w:rsidRPr="00AA6742" w:rsidRDefault="00E773F8" w:rsidP="000D4E39">
            <w:pPr>
              <w:pStyle w:val="1Text"/>
              <w:ind w:left="12"/>
              <w:rPr>
                <w:rFonts w:ascii="Calibri" w:hAnsi="Calibri" w:cs="Calibri"/>
              </w:rPr>
            </w:pPr>
            <w:r w:rsidRPr="00AA6742">
              <w:rPr>
                <w:rFonts w:ascii="Calibri" w:hAnsi="Calibri" w:cs="Calibri"/>
              </w:rPr>
              <w:t>Die Beantwortung dieser Frage, liefert die anvisierte Ausstattungsvariante (z. B. Pool (Klasse), Pool (Schule), Schülerleihgerät). Der gewünschte Stand- bzw. Nutzungsort (Klasse, Stockwerk, Gebäudetrakt, …) der Geräte beeinflusst zudem die Entscheidungen zu Aufbewahrung, Lade- und Transportmöglichkeiten.</w:t>
            </w:r>
          </w:p>
          <w:p w14:paraId="4D874C43" w14:textId="77777777" w:rsidR="00E773F8" w:rsidRPr="005578A6" w:rsidRDefault="00E773F8" w:rsidP="000D4E39">
            <w:pPr>
              <w:pStyle w:val="1Text"/>
              <w:ind w:left="0"/>
              <w:rPr>
                <w:rFonts w:ascii="Calibri" w:eastAsia="Times New Roman" w:hAnsi="Calibri" w:cs="Calibri"/>
                <w:color w:val="404040"/>
                <w:lang w:eastAsia="de-DE"/>
              </w:rPr>
            </w:pPr>
          </w:p>
        </w:tc>
        <w:tc>
          <w:tcPr>
            <w:tcW w:w="5806" w:type="dxa"/>
          </w:tcPr>
          <w:p w14:paraId="5A8580DA" w14:textId="7A1B3F14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Welche Ausstattungsvariante wird für die </w:t>
            </w:r>
            <w:r w:rsidR="002E4325">
              <w:rPr>
                <w:color w:val="404040" w:themeColor="text1" w:themeTint="BF"/>
                <w:sz w:val="22"/>
                <w:szCs w:val="22"/>
              </w:rPr>
              <w:t>Schule</w:t>
            </w:r>
            <w:r w:rsidRPr="005578A6">
              <w:rPr>
                <w:color w:val="404040" w:themeColor="text1" w:themeTint="BF"/>
                <w:sz w:val="22"/>
                <w:szCs w:val="22"/>
              </w:rPr>
              <w:t xml:space="preserve"> angestrebt? </w:t>
            </w:r>
          </w:p>
          <w:p w14:paraId="4EAD1538" w14:textId="6E933AA1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Wie werden die Geräte im Falle einer Pool-Lösung im </w:t>
            </w:r>
            <w:r>
              <w:rPr>
                <w:color w:val="404040" w:themeColor="text1" w:themeTint="BF"/>
                <w:sz w:val="22"/>
                <w:szCs w:val="22"/>
              </w:rPr>
              <w:t>Schulh</w:t>
            </w:r>
            <w:r w:rsidRPr="005578A6">
              <w:rPr>
                <w:color w:val="404040" w:themeColor="text1" w:themeTint="BF"/>
                <w:sz w:val="22"/>
                <w:szCs w:val="22"/>
              </w:rPr>
              <w:t>aus verteilt?</w:t>
            </w:r>
          </w:p>
          <w:p w14:paraId="6113E001" w14:textId="77777777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Sollen die Geräte mit nach Hause gegeben werden können?</w:t>
            </w:r>
          </w:p>
          <w:p w14:paraId="52857E53" w14:textId="77777777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Wie werden die Geräte geladen und eventuell transportiert?</w:t>
            </w:r>
          </w:p>
          <w:p w14:paraId="0DF1C1C0" w14:textId="499F1EFF" w:rsidR="00E773F8" w:rsidRPr="00CB036B" w:rsidRDefault="00E773F8" w:rsidP="00CB036B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Lösungen zum Abbilden des Workflows stehen zur Verfügung?</w:t>
            </w:r>
          </w:p>
        </w:tc>
        <w:tc>
          <w:tcPr>
            <w:tcW w:w="1530" w:type="dxa"/>
          </w:tcPr>
          <w:p w14:paraId="4E6CF61C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0706A8B5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03918FDC" wp14:editId="47397E10">
                  <wp:extent cx="582804" cy="582804"/>
                  <wp:effectExtent l="0" t="0" r="1905" b="1905"/>
                  <wp:docPr id="2062065343" name="Grafik 2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65343" name="Grafik 2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35" cy="5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3F29F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1E866230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5D618763" w14:textId="4F0F719D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4F88882B" wp14:editId="5DCAC6CD">
                  <wp:extent cx="582295" cy="582295"/>
                  <wp:effectExtent l="0" t="0" r="1905" b="1905"/>
                  <wp:docPr id="1979204290" name="Grafik 3" descr="Ein Bild, das Muster, Quadrat, Symmetri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204290" name="Grafik 3" descr="Ein Bild, das Muster, Quadrat, Symmetrie, Design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68" cy="59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45210B86" w14:textId="0193C992" w:rsidTr="00CB036B">
        <w:tc>
          <w:tcPr>
            <w:tcW w:w="2730" w:type="dxa"/>
          </w:tcPr>
          <w:p w14:paraId="0138E23F" w14:textId="77777777" w:rsidR="00E773F8" w:rsidRPr="00AB4AD9" w:rsidRDefault="00E773F8" w:rsidP="000A065E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Wozu sollen die Geräte im Unterricht eingesetzt werden?</w:t>
            </w:r>
          </w:p>
          <w:p w14:paraId="2DD52A05" w14:textId="77777777" w:rsidR="00E773F8" w:rsidRPr="00AB4AD9" w:rsidRDefault="00E773F8" w:rsidP="00F7176F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4211" w:type="dxa"/>
          </w:tcPr>
          <w:p w14:paraId="44FB5DB5" w14:textId="77777777" w:rsidR="00E773F8" w:rsidRPr="005578A6" w:rsidRDefault="00E773F8" w:rsidP="000A065E">
            <w:pPr>
              <w:pStyle w:val="1Text"/>
              <w:ind w:left="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lang w:eastAsia="de-DE"/>
              </w:rPr>
              <w:t>Der beabsichtigte Einsatz im Unterricht und die Nutzerperspektive beeinflusst die Wahl der Geräteklasse und das benötigte Zubehör maßgeblich.</w:t>
            </w:r>
          </w:p>
          <w:p w14:paraId="7A46D21A" w14:textId="1860F3F1" w:rsidR="00E773F8" w:rsidRPr="005578A6" w:rsidRDefault="00E773F8" w:rsidP="00CB036B">
            <w:pPr>
              <w:pStyle w:val="1Text"/>
              <w:numPr>
                <w:ilvl w:val="0"/>
                <w:numId w:val="1"/>
              </w:numPr>
              <w:ind w:left="270" w:hanging="27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b/>
                <w:bCs/>
                <w:lang w:eastAsia="de-DE"/>
              </w:rPr>
              <w:t>Geräteklasse:</w:t>
            </w:r>
            <w:r w:rsidRPr="005578A6">
              <w:rPr>
                <w:rFonts w:ascii="Calibri" w:hAnsi="Calibri" w:cs="Calibri"/>
                <w:lang w:eastAsia="de-DE"/>
              </w:rPr>
              <w:t xml:space="preserve"> Abhängig von den Anforderungen (z. B. </w:t>
            </w:r>
            <w:proofErr w:type="spellStart"/>
            <w:r w:rsidRPr="005578A6">
              <w:rPr>
                <w:rFonts w:ascii="Calibri" w:hAnsi="Calibri" w:cs="Calibri"/>
                <w:lang w:eastAsia="de-DE"/>
              </w:rPr>
              <w:t>Touchfähiger</w:t>
            </w:r>
            <w:proofErr w:type="spellEnd"/>
            <w:r w:rsidRPr="005578A6">
              <w:rPr>
                <w:rFonts w:ascii="Calibri" w:hAnsi="Calibri" w:cs="Calibri"/>
                <w:lang w:eastAsia="de-DE"/>
              </w:rPr>
              <w:t xml:space="preserve"> Bildschirm, Stifteingabe, Art der Tastatur, unterstützte Anwendungen) und der Nutzerperspektive (Förderschwerpunkt) wird entschieden, ob Tablets, Laptops oder hybride Geräte verwendet werden.</w:t>
            </w:r>
          </w:p>
          <w:p w14:paraId="09F71820" w14:textId="77777777" w:rsidR="00E773F8" w:rsidRPr="005578A6" w:rsidRDefault="00E773F8" w:rsidP="00CB036B">
            <w:pPr>
              <w:pStyle w:val="1Text"/>
              <w:numPr>
                <w:ilvl w:val="0"/>
                <w:numId w:val="1"/>
              </w:numPr>
              <w:ind w:left="270" w:hanging="27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b/>
                <w:bCs/>
                <w:lang w:eastAsia="de-DE"/>
              </w:rPr>
              <w:t>Zubehör:</w:t>
            </w:r>
            <w:r w:rsidRPr="005578A6">
              <w:rPr>
                <w:rFonts w:ascii="Calibri" w:hAnsi="Calibri" w:cs="Calibri"/>
                <w:lang w:eastAsia="de-DE"/>
              </w:rPr>
              <w:t> Je nach Einsatzbereich wird zusätzliches Zubehör wie Schutzhüllen, externe Tastaturen, digitale Stifte oder spezielle Eingabegeräte benötigt.</w:t>
            </w:r>
          </w:p>
          <w:p w14:paraId="65B9D1EA" w14:textId="41945F08" w:rsidR="00E773F8" w:rsidRPr="005578A6" w:rsidRDefault="00E773F8" w:rsidP="000A065E">
            <w:pPr>
              <w:pStyle w:val="1Text"/>
              <w:ind w:left="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lang w:eastAsia="de-DE"/>
              </w:rPr>
              <w:t xml:space="preserve">Durch die sorgfältige Auswahl und Konfiguration der Geräte wird sichergestellt, dass sie optimal zur Unterstützung der </w:t>
            </w:r>
            <w:r w:rsidRPr="005578A6">
              <w:rPr>
                <w:rFonts w:ascii="Calibri" w:hAnsi="Calibri" w:cs="Calibri"/>
                <w:lang w:eastAsia="de-DE"/>
              </w:rPr>
              <w:lastRenderedPageBreak/>
              <w:t>Lernziele und Bedürfnisse der Schüler</w:t>
            </w:r>
            <w:r>
              <w:rPr>
                <w:rFonts w:ascii="Calibri" w:hAnsi="Calibri" w:cs="Calibri"/>
                <w:lang w:eastAsia="de-DE"/>
              </w:rPr>
              <w:t>innen und Schüler</w:t>
            </w:r>
            <w:r w:rsidRPr="005578A6">
              <w:rPr>
                <w:rFonts w:ascii="Calibri" w:hAnsi="Calibri" w:cs="Calibri"/>
                <w:lang w:eastAsia="de-DE"/>
              </w:rPr>
              <w:t xml:space="preserve"> beitragen.</w:t>
            </w:r>
          </w:p>
        </w:tc>
        <w:tc>
          <w:tcPr>
            <w:tcW w:w="5806" w:type="dxa"/>
          </w:tcPr>
          <w:p w14:paraId="39FCE547" w14:textId="3D3A3477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lastRenderedPageBreak/>
              <w:t>Erfordert die angestrebte Unterrichtsentwicklung eine bestimmte Geräteklasse bzw. ein bestimmtes Betriebssystem?</w:t>
            </w:r>
          </w:p>
          <w:p w14:paraId="2EBFED81" w14:textId="77777777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Welches Zubehör wird benötigt?</w:t>
            </w:r>
          </w:p>
          <w:p w14:paraId="24B6DE84" w14:textId="45DE6442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Anwendungen sollen auf den Geräten zur Verfügung stehen?</w:t>
            </w:r>
          </w:p>
        </w:tc>
        <w:tc>
          <w:tcPr>
            <w:tcW w:w="1530" w:type="dxa"/>
          </w:tcPr>
          <w:p w14:paraId="1DA88908" w14:textId="429B985D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6630EDFE" wp14:editId="357B7F2E">
                  <wp:extent cx="582295" cy="582295"/>
                  <wp:effectExtent l="0" t="0" r="1905" b="1905"/>
                  <wp:docPr id="1066068208" name="Grafik 1" descr="Ein Bild, das Muster, Quadrat, Symmetri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68208" name="Grafik 1" descr="Ein Bild, das Muster, Quadrat, Symmetrie, Design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6" cy="59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05F198C2" w14:textId="659DCB13" w:rsidTr="00CB036B">
        <w:tc>
          <w:tcPr>
            <w:tcW w:w="2730" w:type="dxa"/>
            <w:tcBorders>
              <w:bottom w:val="single" w:sz="4" w:space="0" w:color="auto"/>
            </w:tcBorders>
          </w:tcPr>
          <w:p w14:paraId="36CCAB0D" w14:textId="77777777" w:rsidR="00E773F8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Wie können die Geräte in die bestehende Infrastruktur integriert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 werden?</w:t>
            </w:r>
          </w:p>
          <w:p w14:paraId="03481FA6" w14:textId="2A73D884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00F2E339" w14:textId="717AF7F2" w:rsidR="00E773F8" w:rsidRPr="005578A6" w:rsidRDefault="00E773F8" w:rsidP="005B344E">
            <w:pPr>
              <w:pStyle w:val="1Text"/>
              <w:ind w:left="0"/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Die Geräte müssen in die bestehende Infrastruktur integriert werden, wobei sowohl Bestands- als auch Neugeräte in ein gemeinsames, für die Gesamtzahl der Geräte geeignetes System eingebunden werden. Es ist wichtig, ein stabiles WLAN-Netzwerk bereitzustellen. Ein digitales Klassenzimmer mit geeigneter Ladetechnik und Projektion ermöglicht den nahtlosen Einsatz der Geräte im Unterricht.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FB7283D" w14:textId="38AB582D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Anforderungen an die Netzwerkstruktur und Internetanbindung entstehen?</w:t>
            </w:r>
          </w:p>
          <w:p w14:paraId="308F968F" w14:textId="77777777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Wie können die Geräte technisch eingebunden werden? </w:t>
            </w:r>
          </w:p>
          <w:p w14:paraId="0F8FC318" w14:textId="77777777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Wie können Arbeitsergebnisse projiziert werden?</w:t>
            </w:r>
          </w:p>
          <w:p w14:paraId="0103B2DE" w14:textId="77777777" w:rsidR="00E773F8" w:rsidRPr="006E5FD6" w:rsidRDefault="00E773F8" w:rsidP="006E5FD6">
            <w:pPr>
              <w:ind w:left="36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1849511" w14:textId="10C93101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11699B01" wp14:editId="4675EFC0">
                  <wp:extent cx="602615" cy="602615"/>
                  <wp:effectExtent l="0" t="0" r="0" b="0"/>
                  <wp:docPr id="1680603569" name="Grafik 4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03569" name="Grafik 4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99" cy="61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326A1865" w14:textId="0657AAC2" w:rsidTr="00CB036B">
        <w:tc>
          <w:tcPr>
            <w:tcW w:w="2730" w:type="dxa"/>
            <w:tcBorders>
              <w:bottom w:val="single" w:sz="4" w:space="0" w:color="auto"/>
            </w:tcBorders>
          </w:tcPr>
          <w:p w14:paraId="1FB415BA" w14:textId="77777777" w:rsidR="00E773F8" w:rsidRPr="00AB4AD9" w:rsidRDefault="00E773F8" w:rsidP="006E5FD6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Wie organisiert man die Abläufe, damit die Geräte funktionsfähig im Unterricht eingesetzt werden können?</w:t>
            </w:r>
          </w:p>
          <w:p w14:paraId="15A55BD8" w14:textId="3946002B" w:rsidR="00E773F8" w:rsidRPr="00AB4AD9" w:rsidRDefault="00E773F8" w:rsidP="006E5FD6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03C11A6E" w14:textId="6C7B123A" w:rsidR="00E773F8" w:rsidRPr="005578A6" w:rsidRDefault="00E773F8" w:rsidP="006E5FD6">
            <w:pPr>
              <w:pStyle w:val="1Text"/>
              <w:ind w:left="0"/>
              <w:rPr>
                <w:rFonts w:ascii="Calibri" w:hAnsi="Calibri" w:cs="Calibri"/>
              </w:rPr>
            </w:pPr>
            <w:r w:rsidRPr="005578A6">
              <w:rPr>
                <w:lang w:eastAsia="de-DE"/>
              </w:rPr>
              <w:t xml:space="preserve">Ein </w:t>
            </w:r>
            <w:r w:rsidRPr="005578A6">
              <w:rPr>
                <w:b/>
                <w:bCs/>
                <w:lang w:eastAsia="de-DE"/>
              </w:rPr>
              <w:t>organisatorisches Nutzungskonzept</w:t>
            </w:r>
            <w:r w:rsidRPr="005578A6">
              <w:rPr>
                <w:lang w:eastAsia="de-DE"/>
              </w:rPr>
              <w:t xml:space="preserve"> befasst sich mit der Ausleihe, Wartung und Pflege damit die Geräte möglichst zuverläss</w:t>
            </w:r>
            <w:r>
              <w:rPr>
                <w:lang w:eastAsia="de-DE"/>
              </w:rPr>
              <w:t>ig</w:t>
            </w:r>
            <w:r w:rsidRPr="005578A6">
              <w:rPr>
                <w:lang w:eastAsia="de-DE"/>
              </w:rPr>
              <w:t xml:space="preserve"> im Unterricht eingesetzt werden können. Es regelt dazu Zuständigkeiten und sorgt dafür, dass alle relevanten Abläufe (Datensicherung, Störungsmeldungen etc.) transparent geregelt werden.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FF2F0D1" w14:textId="77777777" w:rsidR="00CB036B" w:rsidRDefault="00CB036B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Wie sollen die Geräte gebucht werden und der Transport in den Unterrichtsraum erfolgen? </w:t>
            </w:r>
          </w:p>
          <w:p w14:paraId="09AD1A15" w14:textId="1C284530" w:rsidR="00E773F8" w:rsidRPr="005578A6" w:rsidRDefault="00CB036B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E773F8" w:rsidRPr="005578A6">
              <w:rPr>
                <w:rFonts w:ascii="Calibri" w:hAnsi="Calibri" w:cs="Calibri"/>
              </w:rPr>
              <w:t>Tägliche Wartung - Wie werden die Geräte regelmäßig gewartet?</w:t>
            </w:r>
          </w:p>
          <w:p w14:paraId="50CE403E" w14:textId="77777777" w:rsidR="00E773F8" w:rsidRPr="005578A6" w:rsidRDefault="00E773F8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Was benötigt man für den Einsatz der Geräte im Unterricht?</w:t>
            </w:r>
            <w:r w:rsidRPr="005578A6">
              <w:rPr>
                <w:rFonts w:ascii="Calibri" w:hAnsi="Calibri" w:cs="Calibri"/>
                <w:iCs/>
              </w:rPr>
              <w:t xml:space="preserve"> </w:t>
            </w:r>
          </w:p>
          <w:p w14:paraId="221FA0D7" w14:textId="3887E8C1" w:rsidR="00E773F8" w:rsidRPr="00CB036B" w:rsidRDefault="00E773F8" w:rsidP="00CB036B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  <w:iCs/>
              </w:rPr>
              <w:t>Wie sollen der Datenaustausch, die Sicherung von Schülerergebnissen und die Löschroutinen</w:t>
            </w:r>
            <w:r w:rsidRPr="005578A6">
              <w:rPr>
                <w:rFonts w:ascii="Calibri" w:hAnsi="Calibri" w:cs="Calibri"/>
              </w:rPr>
              <w:t xml:space="preserve"> angeleitet werden? </w:t>
            </w:r>
          </w:p>
        </w:tc>
        <w:tc>
          <w:tcPr>
            <w:tcW w:w="1530" w:type="dxa"/>
          </w:tcPr>
          <w:p w14:paraId="6C3E986F" w14:textId="1B72C560" w:rsidR="00E773F8" w:rsidRPr="005578A6" w:rsidRDefault="00E773F8" w:rsidP="00E773F8">
            <w:pPr>
              <w:pStyle w:val="1Text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D0AAA93" wp14:editId="797CDEA2">
                  <wp:extent cx="602901" cy="602901"/>
                  <wp:effectExtent l="0" t="0" r="0" b="0"/>
                  <wp:docPr id="55222503" name="Grafik 5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2503" name="Grafik 5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89" cy="61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5C3AA541" w14:textId="386AD0DD" w:rsidTr="00CB036B">
        <w:tc>
          <w:tcPr>
            <w:tcW w:w="2730" w:type="dxa"/>
            <w:tcBorders>
              <w:bottom w:val="single" w:sz="4" w:space="0" w:color="auto"/>
            </w:tcBorders>
          </w:tcPr>
          <w:p w14:paraId="04D6E52A" w14:textId="310E6B7C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Wie können die Geräte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s</w:t>
            </w: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o konfiguriert werden, dass sie störungsfrei im Unterricht genutzt werden können? </w:t>
            </w:r>
          </w:p>
          <w:p w14:paraId="05F38ABA" w14:textId="77777777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  <w:p w14:paraId="7A47D899" w14:textId="77777777" w:rsidR="00E773F8" w:rsidRPr="00AB4AD9" w:rsidRDefault="00E773F8" w:rsidP="006920CC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314D7047" w14:textId="3B922AA6" w:rsidR="00E773F8" w:rsidRPr="005578A6" w:rsidRDefault="00E773F8" w:rsidP="005B344E">
            <w:pPr>
              <w:pStyle w:val="1Text"/>
              <w:ind w:left="0"/>
              <w:rPr>
                <w:rFonts w:ascii="Calibri" w:eastAsia="Times New Roman" w:hAnsi="Calibri" w:cs="Calibri"/>
                <w:color w:val="404040"/>
                <w:lang w:eastAsia="de-DE"/>
              </w:rPr>
            </w:pPr>
            <w:r w:rsidRPr="005578A6">
              <w:rPr>
                <w:rFonts w:ascii="Calibri" w:hAnsi="Calibri" w:cs="Calibri"/>
              </w:rPr>
              <w:t xml:space="preserve">Zudem wird eine zentrale Administration empfohlen, um die Geräte effizient zu verwalten und zu warten. Das </w:t>
            </w:r>
            <w:r w:rsidRPr="005578A6">
              <w:rPr>
                <w:rFonts w:ascii="Calibri" w:hAnsi="Calibri" w:cs="Calibri"/>
                <w:b/>
                <w:bCs/>
              </w:rPr>
              <w:t>technische Nutzungskonzept</w:t>
            </w:r>
            <w:r w:rsidRPr="005578A6">
              <w:rPr>
                <w:rFonts w:ascii="Calibri" w:hAnsi="Calibri" w:cs="Calibri"/>
              </w:rPr>
              <w:t xml:space="preserve"> legt die Gerätekonfigurationen in Bezug auf die geplante Ausstattungsvariante und deren Rahmenbedingungen fest.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CFBA31B" w14:textId="41435604" w:rsidR="00E773F8" w:rsidRPr="005578A6" w:rsidRDefault="00E773F8" w:rsidP="00DF087F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Geräte-Konfiguration: Wie sollen die Geräte bedarfsgerecht konfiguriert werden (z. B. Festlegen von Einschränkungen, Installation von Anwendungen)?</w:t>
            </w:r>
          </w:p>
          <w:p w14:paraId="4CA5BDB0" w14:textId="65B99E52" w:rsidR="00E773F8" w:rsidRPr="005578A6" w:rsidRDefault="00E773F8" w:rsidP="00DF087F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Welches System wird ggf. für eine zentrale Administration verwendet?</w:t>
            </w:r>
          </w:p>
          <w:p w14:paraId="02D90FAA" w14:textId="203B933A" w:rsidR="00E773F8" w:rsidRPr="00CB036B" w:rsidRDefault="00E773F8" w:rsidP="00F700CC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Vom wem werden die Geräte administriert? </w:t>
            </w:r>
          </w:p>
        </w:tc>
        <w:tc>
          <w:tcPr>
            <w:tcW w:w="1530" w:type="dxa"/>
          </w:tcPr>
          <w:p w14:paraId="74DB6F65" w14:textId="09D5C21B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843ADB" wp14:editId="5B662A98">
                  <wp:extent cx="472272" cy="472272"/>
                  <wp:effectExtent l="0" t="0" r="0" b="0"/>
                  <wp:docPr id="697885806" name="Grafik 6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85806" name="Grafik 6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60" cy="48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5320DF10" w14:textId="12D08151" w:rsidTr="00CB036B">
        <w:tc>
          <w:tcPr>
            <w:tcW w:w="2730" w:type="dxa"/>
          </w:tcPr>
          <w:p w14:paraId="70D0625D" w14:textId="46B203D1" w:rsidR="00E773F8" w:rsidRPr="00AB4AD9" w:rsidRDefault="00E773F8" w:rsidP="00F85BA7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 xml:space="preserve">elche pädagogischen Absprachen sind für die angestrebte 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lastRenderedPageBreak/>
              <w:t>Unterrichts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entwicklung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 xml:space="preserve"> erforderlich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?</w:t>
            </w:r>
          </w:p>
          <w:p w14:paraId="08D5A79F" w14:textId="113E384F" w:rsidR="00E773F8" w:rsidRPr="00AB4AD9" w:rsidRDefault="00E773F8" w:rsidP="00F85BA7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</w:p>
        </w:tc>
        <w:tc>
          <w:tcPr>
            <w:tcW w:w="4211" w:type="dxa"/>
          </w:tcPr>
          <w:p w14:paraId="078C2BDF" w14:textId="7023DA1F" w:rsidR="00E773F8" w:rsidRPr="005578A6" w:rsidRDefault="00E773F8" w:rsidP="006465F5">
            <w:pPr>
              <w:rPr>
                <w:color w:val="404040" w:themeColor="text1" w:themeTint="BF"/>
                <w:sz w:val="22"/>
                <w:szCs w:val="22"/>
                <w:lang w:eastAsia="de-DE"/>
              </w:rPr>
            </w:pP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lastRenderedPageBreak/>
              <w:t xml:space="preserve">Gemeinsame schulische Absprachen zum pädagogischen Handeln schaffen Sicherheit und Verlässlichkeit für Schülerinnen und Schüler, für Erziehungsberechtigte sowie für </w:t>
            </w: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lastRenderedPageBreak/>
              <w:t xml:space="preserve">die Lehrenden selbst. Die Erfahrungen aus der Praxis zeigen, dass jede Entscheidung je nach Jahrgangsstufe und Ausstattungsvariante spezifische schulische Anpassungen an die neue Lehr- und Lernsituation erfordert. Daraus entsteht ein </w:t>
            </w:r>
            <w:r w:rsidRPr="005578A6">
              <w:rPr>
                <w:b/>
                <w:bCs/>
                <w:color w:val="404040" w:themeColor="text1" w:themeTint="BF"/>
                <w:sz w:val="22"/>
                <w:szCs w:val="22"/>
                <w:lang w:eastAsia="de-DE"/>
              </w:rPr>
              <w:t xml:space="preserve">pädagogisches Nutzungskonzept, </w:t>
            </w: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t>das den Rahmen für die Unterrichtsentwicklung darstellt.</w:t>
            </w:r>
          </w:p>
        </w:tc>
        <w:tc>
          <w:tcPr>
            <w:tcW w:w="5806" w:type="dxa"/>
          </w:tcPr>
          <w:p w14:paraId="6BEE0B42" w14:textId="77777777" w:rsidR="00E773F8" w:rsidRPr="005578A6" w:rsidRDefault="00E773F8" w:rsidP="00F85BA7">
            <w:pPr>
              <w:pStyle w:val="Listenabsatz"/>
              <w:numPr>
                <w:ilvl w:val="0"/>
                <w:numId w:val="4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lastRenderedPageBreak/>
              <w:t>In welchen Bereichen sollen Absprachen getroffen werden?</w:t>
            </w:r>
          </w:p>
          <w:p w14:paraId="277BCAD4" w14:textId="2632E14F" w:rsidR="00E773F8" w:rsidRPr="005578A6" w:rsidRDefault="00E773F8" w:rsidP="00F85BA7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Wie sollen die Absprachen an die Jahrgangsstufe angepasst werden?</w:t>
            </w:r>
          </w:p>
        </w:tc>
        <w:tc>
          <w:tcPr>
            <w:tcW w:w="1530" w:type="dxa"/>
          </w:tcPr>
          <w:p w14:paraId="63FDB10D" w14:textId="144D8603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1ADF47" wp14:editId="1B02F463">
                  <wp:extent cx="522514" cy="522514"/>
                  <wp:effectExtent l="0" t="0" r="0" b="0"/>
                  <wp:docPr id="247762668" name="Grafik 8" descr="Ein Bild, das Muster, Symmetrie, Quadrat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62668" name="Grafik 8" descr="Ein Bild, das Muster, Symmetrie, Quadrat, Kunst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40" cy="54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6E00F" w14:textId="634501B0" w:rsidR="003E1D2E" w:rsidRDefault="003E1D2E"/>
    <w:sectPr w:rsidR="003E1D2E" w:rsidSect="006465F5">
      <w:headerReference w:type="default" r:id="rId15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BCD8" w14:textId="77777777" w:rsidR="000B7155" w:rsidRDefault="000B7155" w:rsidP="00DF087F">
      <w:r>
        <w:separator/>
      </w:r>
    </w:p>
  </w:endnote>
  <w:endnote w:type="continuationSeparator" w:id="0">
    <w:p w14:paraId="43BCD64F" w14:textId="77777777" w:rsidR="000B7155" w:rsidRDefault="000B7155" w:rsidP="00DF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95E1" w14:textId="77777777" w:rsidR="000B7155" w:rsidRDefault="000B7155" w:rsidP="00DF087F">
      <w:r>
        <w:separator/>
      </w:r>
    </w:p>
  </w:footnote>
  <w:footnote w:type="continuationSeparator" w:id="0">
    <w:p w14:paraId="0AB963E5" w14:textId="77777777" w:rsidR="000B7155" w:rsidRDefault="000B7155" w:rsidP="00DF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041A" w14:textId="558FEDC6" w:rsidR="00DF087F" w:rsidRDefault="00AB4AD9" w:rsidP="00AA6742">
    <w:pPr>
      <w:pStyle w:val="Kopfzeile"/>
      <w:jc w:val="right"/>
    </w:pPr>
    <w:r>
      <w:rPr>
        <w:noProof/>
      </w:rPr>
      <w:drawing>
        <wp:inline distT="0" distB="0" distL="0" distR="0" wp14:anchorId="0DA1A1FE" wp14:editId="1745016A">
          <wp:extent cx="1451303" cy="314498"/>
          <wp:effectExtent l="0" t="0" r="0" b="3175"/>
          <wp:docPr id="660524284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24284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214" cy="33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613"/>
    <w:multiLevelType w:val="hybridMultilevel"/>
    <w:tmpl w:val="850ED79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2A40005"/>
    <w:multiLevelType w:val="hybridMultilevel"/>
    <w:tmpl w:val="F82A2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E1F3F"/>
    <w:multiLevelType w:val="hybridMultilevel"/>
    <w:tmpl w:val="DBCCD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B60E3"/>
    <w:multiLevelType w:val="hybridMultilevel"/>
    <w:tmpl w:val="9F6C6BCC"/>
    <w:lvl w:ilvl="0" w:tplc="2AA082A8">
      <w:start w:val="3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E5459F"/>
    <w:multiLevelType w:val="hybridMultilevel"/>
    <w:tmpl w:val="74C07A48"/>
    <w:lvl w:ilvl="0" w:tplc="2AA082A8">
      <w:start w:val="3"/>
      <w:numFmt w:val="bullet"/>
      <w:lvlText w:val="-"/>
      <w:lvlJc w:val="left"/>
      <w:pPr>
        <w:ind w:left="122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491B4B4F"/>
    <w:multiLevelType w:val="hybridMultilevel"/>
    <w:tmpl w:val="C332C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AB8"/>
    <w:multiLevelType w:val="hybridMultilevel"/>
    <w:tmpl w:val="98C09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DED"/>
    <w:multiLevelType w:val="hybridMultilevel"/>
    <w:tmpl w:val="A5DA1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B3D"/>
    <w:multiLevelType w:val="hybridMultilevel"/>
    <w:tmpl w:val="50AC3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81371">
    <w:abstractNumId w:val="0"/>
  </w:num>
  <w:num w:numId="2" w16cid:durableId="1190946546">
    <w:abstractNumId w:val="1"/>
  </w:num>
  <w:num w:numId="3" w16cid:durableId="1024329888">
    <w:abstractNumId w:val="6"/>
  </w:num>
  <w:num w:numId="4" w16cid:durableId="1449161617">
    <w:abstractNumId w:val="5"/>
  </w:num>
  <w:num w:numId="5" w16cid:durableId="261837929">
    <w:abstractNumId w:val="8"/>
  </w:num>
  <w:num w:numId="6" w16cid:durableId="496384635">
    <w:abstractNumId w:val="7"/>
  </w:num>
  <w:num w:numId="7" w16cid:durableId="434710491">
    <w:abstractNumId w:val="2"/>
  </w:num>
  <w:num w:numId="8" w16cid:durableId="1593663672">
    <w:abstractNumId w:val="3"/>
  </w:num>
  <w:num w:numId="9" w16cid:durableId="1772239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5E"/>
    <w:rsid w:val="00077C86"/>
    <w:rsid w:val="000A065E"/>
    <w:rsid w:val="000B03FD"/>
    <w:rsid w:val="000B7155"/>
    <w:rsid w:val="000E0E93"/>
    <w:rsid w:val="000F4C24"/>
    <w:rsid w:val="00111CDD"/>
    <w:rsid w:val="00152815"/>
    <w:rsid w:val="00154140"/>
    <w:rsid w:val="00187CF7"/>
    <w:rsid w:val="001B1187"/>
    <w:rsid w:val="001B5FF3"/>
    <w:rsid w:val="00203982"/>
    <w:rsid w:val="002470AC"/>
    <w:rsid w:val="00276B85"/>
    <w:rsid w:val="002919EA"/>
    <w:rsid w:val="002E4325"/>
    <w:rsid w:val="002F4EE5"/>
    <w:rsid w:val="0034340C"/>
    <w:rsid w:val="0034674B"/>
    <w:rsid w:val="003528E4"/>
    <w:rsid w:val="003A4615"/>
    <w:rsid w:val="003E1D2E"/>
    <w:rsid w:val="00406B7B"/>
    <w:rsid w:val="004419A9"/>
    <w:rsid w:val="00476311"/>
    <w:rsid w:val="004A7851"/>
    <w:rsid w:val="005578A6"/>
    <w:rsid w:val="00583935"/>
    <w:rsid w:val="005B344E"/>
    <w:rsid w:val="00604EE5"/>
    <w:rsid w:val="00610A1F"/>
    <w:rsid w:val="006211A0"/>
    <w:rsid w:val="00645902"/>
    <w:rsid w:val="006465F5"/>
    <w:rsid w:val="0067166D"/>
    <w:rsid w:val="006920CC"/>
    <w:rsid w:val="006B60E4"/>
    <w:rsid w:val="006E5FD6"/>
    <w:rsid w:val="007030F1"/>
    <w:rsid w:val="00712C89"/>
    <w:rsid w:val="00714050"/>
    <w:rsid w:val="0075459F"/>
    <w:rsid w:val="007B3251"/>
    <w:rsid w:val="007F5143"/>
    <w:rsid w:val="008676B2"/>
    <w:rsid w:val="00896CFF"/>
    <w:rsid w:val="008F12CB"/>
    <w:rsid w:val="00912F81"/>
    <w:rsid w:val="00926759"/>
    <w:rsid w:val="00951DCA"/>
    <w:rsid w:val="00AA6742"/>
    <w:rsid w:val="00AB18E6"/>
    <w:rsid w:val="00AB4AD9"/>
    <w:rsid w:val="00AF2EF6"/>
    <w:rsid w:val="00B46A57"/>
    <w:rsid w:val="00BE1DB2"/>
    <w:rsid w:val="00BF1B7E"/>
    <w:rsid w:val="00CB036B"/>
    <w:rsid w:val="00D22629"/>
    <w:rsid w:val="00D3469E"/>
    <w:rsid w:val="00DE2419"/>
    <w:rsid w:val="00DF087F"/>
    <w:rsid w:val="00DF169C"/>
    <w:rsid w:val="00DF79A5"/>
    <w:rsid w:val="00E469DA"/>
    <w:rsid w:val="00E46FC2"/>
    <w:rsid w:val="00E75186"/>
    <w:rsid w:val="00E773F8"/>
    <w:rsid w:val="00EF1863"/>
    <w:rsid w:val="00F05386"/>
    <w:rsid w:val="00F073D5"/>
    <w:rsid w:val="00F22841"/>
    <w:rsid w:val="00F628DB"/>
    <w:rsid w:val="00F700CC"/>
    <w:rsid w:val="00F7176F"/>
    <w:rsid w:val="00F815BC"/>
    <w:rsid w:val="00F85BA7"/>
    <w:rsid w:val="00F955C2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BA1"/>
  <w15:chartTrackingRefBased/>
  <w15:docId w15:val="{3F1A2E5A-4FE5-5D45-A7F8-6163E15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065E"/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6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6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6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6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6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6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6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6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6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65E"/>
    <w:rPr>
      <w:b/>
      <w:bCs/>
      <w:smallCaps/>
      <w:color w:val="0F4761" w:themeColor="accent1" w:themeShade="BF"/>
      <w:spacing w:val="5"/>
    </w:rPr>
  </w:style>
  <w:style w:type="paragraph" w:customStyle="1" w:styleId="1Text">
    <w:name w:val="1Text"/>
    <w:basedOn w:val="Standard"/>
    <w:qFormat/>
    <w:rsid w:val="000A065E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</w:rPr>
  </w:style>
  <w:style w:type="table" w:styleId="Tabellenraster">
    <w:name w:val="Table Grid"/>
    <w:basedOn w:val="NormaleTabelle"/>
    <w:uiPriority w:val="39"/>
    <w:rsid w:val="000A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E24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24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2419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24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419"/>
    <w:rPr>
      <w:rFonts w:ascii="Calibri" w:eastAsia="Calibri" w:hAnsi="Calibri" w:cs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030F1"/>
    <w:rPr>
      <w:rFonts w:ascii="Calibri" w:eastAsia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DF0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087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F0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087F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bsatz-Standardschriftart"/>
    <w:rsid w:val="007F5143"/>
  </w:style>
  <w:style w:type="character" w:styleId="Fett">
    <w:name w:val="Strong"/>
    <w:basedOn w:val="Absatz-Standardschriftart"/>
    <w:uiPriority w:val="22"/>
    <w:qFormat/>
    <w:rsid w:val="007F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D33C-C053-4E73-9D39-00AE5ED7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6</cp:revision>
  <cp:lastPrinted>2026-04-04T07:37:00Z</cp:lastPrinted>
  <dcterms:created xsi:type="dcterms:W3CDTF">2026-01-20T08:39:00Z</dcterms:created>
  <dcterms:modified xsi:type="dcterms:W3CDTF">2026-04-07T09:06:00Z</dcterms:modified>
</cp:coreProperties>
</file>